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DE" w:rsidRPr="00C91AC5" w:rsidRDefault="004E18C1" w:rsidP="004E18C1">
      <w:pPr>
        <w:jc w:val="center"/>
        <w:rPr>
          <w:b/>
        </w:rPr>
      </w:pPr>
      <w:bookmarkStart w:id="0" w:name="_GoBack"/>
      <w:r w:rsidRPr="00C91AC5">
        <w:rPr>
          <w:b/>
        </w:rPr>
        <w:t>АНАЛИЗ НА ПРИЛАГАНИЯ ЦЕНОВИ МОДЕЛ НА РЕГУЛИРАНИЯ ПАЗАР И РЕГУЛИРАНЕ НА СВОБОДНИЯ ПАЗАР И ТРАНСГРАНИЧНИЯ ПРЕНОС</w:t>
      </w:r>
    </w:p>
    <w:bookmarkEnd w:id="0"/>
    <w:p w:rsidR="009D35CA" w:rsidRDefault="009D35CA" w:rsidP="004E18C1">
      <w:pPr>
        <w:jc w:val="both"/>
        <w:rPr>
          <w:rFonts w:ascii="Times New Roman" w:hAnsi="Times New Roman" w:cs="Times New Roman"/>
          <w:sz w:val="24"/>
          <w:szCs w:val="24"/>
        </w:rPr>
      </w:pPr>
      <w:r w:rsidRPr="009D35CA">
        <w:rPr>
          <w:rFonts w:ascii="Times New Roman" w:hAnsi="Times New Roman" w:cs="Times New Roman"/>
          <w:sz w:val="24"/>
          <w:szCs w:val="24"/>
        </w:rPr>
        <w:t>Пазарът на електр</w:t>
      </w:r>
      <w:r>
        <w:rPr>
          <w:rFonts w:ascii="Times New Roman" w:hAnsi="Times New Roman" w:cs="Times New Roman"/>
          <w:sz w:val="24"/>
          <w:szCs w:val="24"/>
        </w:rPr>
        <w:t xml:space="preserve">ическа </w:t>
      </w:r>
      <w:r w:rsidRPr="009D35CA">
        <w:rPr>
          <w:rFonts w:ascii="Times New Roman" w:hAnsi="Times New Roman" w:cs="Times New Roman"/>
          <w:sz w:val="24"/>
          <w:szCs w:val="24"/>
        </w:rPr>
        <w:t xml:space="preserve">енергия в България следва хибриден модел, при който част от </w:t>
      </w:r>
      <w:r>
        <w:rPr>
          <w:rFonts w:ascii="Times New Roman" w:hAnsi="Times New Roman" w:cs="Times New Roman"/>
          <w:sz w:val="24"/>
          <w:szCs w:val="24"/>
        </w:rPr>
        <w:t xml:space="preserve">сделките (с клиенти </w:t>
      </w:r>
      <w:r w:rsidR="0080057C">
        <w:rPr>
          <w:rFonts w:ascii="Times New Roman" w:hAnsi="Times New Roman" w:cs="Times New Roman"/>
          <w:sz w:val="24"/>
          <w:szCs w:val="24"/>
        </w:rPr>
        <w:t xml:space="preserve">присъединени на ниско напрежение - </w:t>
      </w:r>
      <w:r>
        <w:rPr>
          <w:rFonts w:ascii="Times New Roman" w:hAnsi="Times New Roman" w:cs="Times New Roman"/>
          <w:sz w:val="24"/>
          <w:szCs w:val="24"/>
        </w:rPr>
        <w:t>НН)</w:t>
      </w:r>
      <w:r w:rsidRPr="009D35CA">
        <w:rPr>
          <w:rFonts w:ascii="Times New Roman" w:hAnsi="Times New Roman" w:cs="Times New Roman"/>
          <w:sz w:val="24"/>
          <w:szCs w:val="24"/>
        </w:rPr>
        <w:t xml:space="preserve"> се сключват на регулирани цени, одобрени от </w:t>
      </w:r>
      <w:r w:rsidR="0080057C">
        <w:rPr>
          <w:rFonts w:ascii="Times New Roman" w:hAnsi="Times New Roman" w:cs="Times New Roman"/>
          <w:sz w:val="24"/>
          <w:szCs w:val="24"/>
        </w:rPr>
        <w:t>ДКЕВР</w:t>
      </w:r>
      <w:r w:rsidRPr="009D35CA">
        <w:rPr>
          <w:rFonts w:ascii="Times New Roman" w:hAnsi="Times New Roman" w:cs="Times New Roman"/>
          <w:sz w:val="24"/>
          <w:szCs w:val="24"/>
        </w:rPr>
        <w:t>, а останалата част</w:t>
      </w:r>
      <w:r>
        <w:rPr>
          <w:rFonts w:ascii="Times New Roman" w:hAnsi="Times New Roman" w:cs="Times New Roman"/>
          <w:sz w:val="24"/>
          <w:szCs w:val="24"/>
        </w:rPr>
        <w:t xml:space="preserve"> (клиенти ВН, </w:t>
      </w:r>
      <w:proofErr w:type="spellStart"/>
      <w:r>
        <w:rPr>
          <w:rFonts w:ascii="Times New Roman" w:hAnsi="Times New Roman" w:cs="Times New Roman"/>
          <w:sz w:val="24"/>
          <w:szCs w:val="24"/>
        </w:rPr>
        <w:t>СрН</w:t>
      </w:r>
      <w:proofErr w:type="spellEnd"/>
      <w:r>
        <w:rPr>
          <w:rFonts w:ascii="Times New Roman" w:hAnsi="Times New Roman" w:cs="Times New Roman"/>
          <w:sz w:val="24"/>
          <w:szCs w:val="24"/>
        </w:rPr>
        <w:t xml:space="preserve"> и част от стопанските клиенти присъединени на НН)</w:t>
      </w:r>
      <w:r w:rsidRPr="009D35CA">
        <w:rPr>
          <w:rFonts w:ascii="Times New Roman" w:hAnsi="Times New Roman" w:cs="Times New Roman"/>
          <w:sz w:val="24"/>
          <w:szCs w:val="24"/>
        </w:rPr>
        <w:t xml:space="preserve"> се търгува на свободния пазар на цени, които подлежат на договаряне.</w:t>
      </w:r>
    </w:p>
    <w:p w:rsidR="002A0C6B" w:rsidRDefault="002A0C6B" w:rsidP="004E18C1">
      <w:pPr>
        <w:jc w:val="both"/>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3583391E">
            <wp:extent cx="5518206" cy="3901996"/>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2432" cy="3904984"/>
                    </a:xfrm>
                    <a:prstGeom prst="rect">
                      <a:avLst/>
                    </a:prstGeom>
                    <a:noFill/>
                  </pic:spPr>
                </pic:pic>
              </a:graphicData>
            </a:graphic>
          </wp:inline>
        </w:drawing>
      </w:r>
    </w:p>
    <w:p w:rsidR="00193B2F" w:rsidRPr="00193B2F" w:rsidRDefault="00193B2F" w:rsidP="00193B2F">
      <w:pPr>
        <w:spacing w:after="0"/>
        <w:jc w:val="both"/>
        <w:rPr>
          <w:rFonts w:ascii="Times New Roman" w:hAnsi="Times New Roman" w:cs="Times New Roman"/>
          <w:sz w:val="24"/>
          <w:szCs w:val="24"/>
        </w:rPr>
      </w:pPr>
      <w:r w:rsidRPr="00193B2F">
        <w:rPr>
          <w:rFonts w:ascii="Times New Roman" w:hAnsi="Times New Roman" w:cs="Times New Roman"/>
          <w:sz w:val="24"/>
          <w:szCs w:val="24"/>
        </w:rPr>
        <w:t>Принципите</w:t>
      </w:r>
      <w:r>
        <w:rPr>
          <w:rFonts w:ascii="Times New Roman" w:hAnsi="Times New Roman" w:cs="Times New Roman"/>
          <w:sz w:val="24"/>
          <w:szCs w:val="24"/>
        </w:rPr>
        <w:t>,</w:t>
      </w:r>
      <w:r w:rsidRPr="00193B2F">
        <w:rPr>
          <w:rFonts w:ascii="Times New Roman" w:hAnsi="Times New Roman" w:cs="Times New Roman"/>
          <w:sz w:val="24"/>
          <w:szCs w:val="24"/>
        </w:rPr>
        <w:t xml:space="preserve"> </w:t>
      </w:r>
      <w:r>
        <w:rPr>
          <w:rFonts w:ascii="Times New Roman" w:hAnsi="Times New Roman" w:cs="Times New Roman"/>
          <w:sz w:val="24"/>
          <w:szCs w:val="24"/>
        </w:rPr>
        <w:t>от които се ръководи комисията при</w:t>
      </w:r>
      <w:r w:rsidRPr="00193B2F">
        <w:rPr>
          <w:rFonts w:ascii="Times New Roman" w:hAnsi="Times New Roman" w:cs="Times New Roman"/>
          <w:sz w:val="24"/>
          <w:szCs w:val="24"/>
        </w:rPr>
        <w:t xml:space="preserve"> прилагане на ценовото регулиране са</w:t>
      </w:r>
      <w:r w:rsidR="0080057C">
        <w:rPr>
          <w:rFonts w:ascii="Times New Roman" w:hAnsi="Times New Roman" w:cs="Times New Roman"/>
          <w:sz w:val="24"/>
          <w:szCs w:val="24"/>
        </w:rPr>
        <w:t xml:space="preserve"> следните</w:t>
      </w:r>
      <w:r w:rsidRPr="00193B2F">
        <w:rPr>
          <w:rFonts w:ascii="Times New Roman" w:hAnsi="Times New Roman" w:cs="Times New Roman"/>
          <w:sz w:val="24"/>
          <w:szCs w:val="24"/>
        </w:rPr>
        <w:t>:</w:t>
      </w:r>
    </w:p>
    <w:p w:rsidR="00193B2F" w:rsidRPr="00193B2F" w:rsidRDefault="00193B2F" w:rsidP="0080057C">
      <w:pPr>
        <w:tabs>
          <w:tab w:val="left" w:pos="284"/>
        </w:tabs>
        <w:spacing w:after="0"/>
        <w:ind w:left="567" w:hanging="283"/>
        <w:jc w:val="both"/>
        <w:rPr>
          <w:rFonts w:ascii="Times New Roman" w:hAnsi="Times New Roman" w:cs="Times New Roman"/>
          <w:sz w:val="24"/>
          <w:szCs w:val="24"/>
        </w:rPr>
      </w:pPr>
      <w:r w:rsidRPr="00193B2F">
        <w:rPr>
          <w:rFonts w:ascii="Times New Roman" w:hAnsi="Times New Roman" w:cs="Times New Roman"/>
          <w:sz w:val="24"/>
          <w:szCs w:val="24"/>
        </w:rPr>
        <w:t>•</w:t>
      </w:r>
      <w:r w:rsidRPr="00193B2F">
        <w:rPr>
          <w:rFonts w:ascii="Times New Roman" w:hAnsi="Times New Roman" w:cs="Times New Roman"/>
          <w:sz w:val="24"/>
          <w:szCs w:val="24"/>
        </w:rPr>
        <w:tab/>
      </w:r>
      <w:r w:rsidRPr="0080057C">
        <w:rPr>
          <w:rFonts w:ascii="Times New Roman" w:hAnsi="Times New Roman" w:cs="Times New Roman"/>
          <w:i/>
          <w:sz w:val="24"/>
          <w:szCs w:val="24"/>
        </w:rPr>
        <w:t>Прозрачност</w:t>
      </w:r>
      <w:r w:rsidRPr="00193B2F">
        <w:rPr>
          <w:rFonts w:ascii="Times New Roman" w:hAnsi="Times New Roman" w:cs="Times New Roman"/>
          <w:sz w:val="24"/>
          <w:szCs w:val="24"/>
        </w:rPr>
        <w:t xml:space="preserve">: справедливо и </w:t>
      </w:r>
      <w:proofErr w:type="spellStart"/>
      <w:r w:rsidRPr="00193B2F">
        <w:rPr>
          <w:rFonts w:ascii="Times New Roman" w:hAnsi="Times New Roman" w:cs="Times New Roman"/>
          <w:sz w:val="24"/>
          <w:szCs w:val="24"/>
        </w:rPr>
        <w:t>равнопоставено</w:t>
      </w:r>
      <w:proofErr w:type="spellEnd"/>
      <w:r w:rsidRPr="00193B2F">
        <w:rPr>
          <w:rFonts w:ascii="Times New Roman" w:hAnsi="Times New Roman" w:cs="Times New Roman"/>
          <w:sz w:val="24"/>
          <w:szCs w:val="24"/>
        </w:rPr>
        <w:t xml:space="preserve"> отношение </w:t>
      </w:r>
      <w:r>
        <w:rPr>
          <w:rFonts w:ascii="Times New Roman" w:hAnsi="Times New Roman" w:cs="Times New Roman"/>
          <w:sz w:val="24"/>
          <w:szCs w:val="24"/>
        </w:rPr>
        <w:t>към всички участници на пазара;</w:t>
      </w:r>
    </w:p>
    <w:p w:rsidR="00193B2F" w:rsidRPr="00193B2F" w:rsidRDefault="00193B2F" w:rsidP="0080057C">
      <w:pPr>
        <w:tabs>
          <w:tab w:val="left" w:pos="284"/>
        </w:tabs>
        <w:spacing w:after="0"/>
        <w:ind w:left="567" w:hanging="283"/>
        <w:jc w:val="both"/>
        <w:rPr>
          <w:rFonts w:ascii="Times New Roman" w:hAnsi="Times New Roman" w:cs="Times New Roman"/>
          <w:sz w:val="24"/>
          <w:szCs w:val="24"/>
        </w:rPr>
      </w:pPr>
      <w:r w:rsidRPr="00193B2F">
        <w:rPr>
          <w:rFonts w:ascii="Times New Roman" w:hAnsi="Times New Roman" w:cs="Times New Roman"/>
          <w:sz w:val="24"/>
          <w:szCs w:val="24"/>
        </w:rPr>
        <w:t>•</w:t>
      </w:r>
      <w:r w:rsidRPr="00193B2F">
        <w:rPr>
          <w:rFonts w:ascii="Times New Roman" w:hAnsi="Times New Roman" w:cs="Times New Roman"/>
          <w:sz w:val="24"/>
          <w:szCs w:val="24"/>
        </w:rPr>
        <w:tab/>
      </w:r>
      <w:r w:rsidRPr="0080057C">
        <w:rPr>
          <w:rFonts w:ascii="Times New Roman" w:hAnsi="Times New Roman" w:cs="Times New Roman"/>
          <w:i/>
          <w:sz w:val="24"/>
          <w:szCs w:val="24"/>
        </w:rPr>
        <w:t>Ефективност</w:t>
      </w:r>
      <w:r w:rsidRPr="00193B2F">
        <w:rPr>
          <w:rFonts w:ascii="Times New Roman" w:hAnsi="Times New Roman" w:cs="Times New Roman"/>
          <w:sz w:val="24"/>
          <w:szCs w:val="24"/>
        </w:rPr>
        <w:t>: подаваните ценови сигнали с</w:t>
      </w:r>
      <w:r>
        <w:rPr>
          <w:rFonts w:ascii="Times New Roman" w:hAnsi="Times New Roman" w:cs="Times New Roman"/>
          <w:sz w:val="24"/>
          <w:szCs w:val="24"/>
        </w:rPr>
        <w:t xml:space="preserve">тимулират към адекватно пазарно </w:t>
      </w:r>
      <w:r w:rsidRPr="00193B2F">
        <w:rPr>
          <w:rFonts w:ascii="Times New Roman" w:hAnsi="Times New Roman" w:cs="Times New Roman"/>
          <w:sz w:val="24"/>
          <w:szCs w:val="24"/>
        </w:rPr>
        <w:t>поведение на участниците на пазара</w:t>
      </w:r>
      <w:r>
        <w:rPr>
          <w:rFonts w:ascii="Times New Roman" w:hAnsi="Times New Roman" w:cs="Times New Roman"/>
          <w:sz w:val="24"/>
          <w:szCs w:val="24"/>
        </w:rPr>
        <w:t>;</w:t>
      </w:r>
    </w:p>
    <w:p w:rsidR="00193B2F" w:rsidRPr="00193B2F" w:rsidRDefault="00193B2F" w:rsidP="0080057C">
      <w:pPr>
        <w:tabs>
          <w:tab w:val="left" w:pos="284"/>
        </w:tabs>
        <w:spacing w:after="0"/>
        <w:ind w:left="567" w:hanging="283"/>
        <w:jc w:val="both"/>
        <w:rPr>
          <w:rFonts w:ascii="Times New Roman" w:hAnsi="Times New Roman" w:cs="Times New Roman"/>
          <w:sz w:val="24"/>
          <w:szCs w:val="24"/>
        </w:rPr>
      </w:pPr>
      <w:r w:rsidRPr="00193B2F">
        <w:rPr>
          <w:rFonts w:ascii="Times New Roman" w:hAnsi="Times New Roman" w:cs="Times New Roman"/>
          <w:sz w:val="24"/>
          <w:szCs w:val="24"/>
        </w:rPr>
        <w:t>•</w:t>
      </w:r>
      <w:r w:rsidRPr="00193B2F">
        <w:rPr>
          <w:rFonts w:ascii="Times New Roman" w:hAnsi="Times New Roman" w:cs="Times New Roman"/>
          <w:sz w:val="24"/>
          <w:szCs w:val="24"/>
        </w:rPr>
        <w:tab/>
      </w:r>
      <w:proofErr w:type="spellStart"/>
      <w:r w:rsidRPr="0080057C">
        <w:rPr>
          <w:rFonts w:ascii="Times New Roman" w:hAnsi="Times New Roman" w:cs="Times New Roman"/>
          <w:i/>
          <w:sz w:val="24"/>
          <w:szCs w:val="24"/>
        </w:rPr>
        <w:t>Равнопоставеност</w:t>
      </w:r>
      <w:proofErr w:type="spellEnd"/>
      <w:r w:rsidRPr="00193B2F">
        <w:rPr>
          <w:rFonts w:ascii="Times New Roman" w:hAnsi="Times New Roman" w:cs="Times New Roman"/>
          <w:sz w:val="24"/>
          <w:szCs w:val="24"/>
        </w:rPr>
        <w:t xml:space="preserve"> между производители и потребители</w:t>
      </w:r>
      <w:r>
        <w:rPr>
          <w:rFonts w:ascii="Times New Roman" w:hAnsi="Times New Roman" w:cs="Times New Roman"/>
          <w:sz w:val="24"/>
          <w:szCs w:val="24"/>
        </w:rPr>
        <w:t>;</w:t>
      </w:r>
    </w:p>
    <w:p w:rsidR="00193B2F" w:rsidRPr="00193B2F" w:rsidRDefault="00193B2F" w:rsidP="0080057C">
      <w:pPr>
        <w:tabs>
          <w:tab w:val="left" w:pos="284"/>
        </w:tabs>
        <w:spacing w:after="0"/>
        <w:ind w:left="567" w:hanging="283"/>
        <w:jc w:val="both"/>
        <w:rPr>
          <w:rFonts w:ascii="Times New Roman" w:hAnsi="Times New Roman" w:cs="Times New Roman"/>
          <w:sz w:val="24"/>
          <w:szCs w:val="24"/>
        </w:rPr>
      </w:pPr>
      <w:r w:rsidRPr="00193B2F">
        <w:rPr>
          <w:rFonts w:ascii="Times New Roman" w:hAnsi="Times New Roman" w:cs="Times New Roman"/>
          <w:sz w:val="24"/>
          <w:szCs w:val="24"/>
        </w:rPr>
        <w:t>•</w:t>
      </w:r>
      <w:r w:rsidRPr="00193B2F">
        <w:rPr>
          <w:rFonts w:ascii="Times New Roman" w:hAnsi="Times New Roman" w:cs="Times New Roman"/>
          <w:sz w:val="24"/>
          <w:szCs w:val="24"/>
        </w:rPr>
        <w:tab/>
      </w:r>
      <w:r w:rsidRPr="0080057C">
        <w:rPr>
          <w:rFonts w:ascii="Times New Roman" w:hAnsi="Times New Roman" w:cs="Times New Roman"/>
          <w:i/>
          <w:sz w:val="24"/>
          <w:szCs w:val="24"/>
        </w:rPr>
        <w:t>Стабилност</w:t>
      </w:r>
      <w:r w:rsidRPr="00193B2F">
        <w:rPr>
          <w:rFonts w:ascii="Times New Roman" w:hAnsi="Times New Roman" w:cs="Times New Roman"/>
          <w:sz w:val="24"/>
          <w:szCs w:val="24"/>
        </w:rPr>
        <w:t>: последователните действия на регулатора създават стабилна среда за инвеститорите</w:t>
      </w:r>
      <w:r>
        <w:rPr>
          <w:rFonts w:ascii="Times New Roman" w:hAnsi="Times New Roman" w:cs="Times New Roman"/>
          <w:sz w:val="24"/>
          <w:szCs w:val="24"/>
        </w:rPr>
        <w:t>;</w:t>
      </w:r>
    </w:p>
    <w:p w:rsidR="00193B2F" w:rsidRPr="00193B2F" w:rsidRDefault="00193B2F" w:rsidP="0080057C">
      <w:pPr>
        <w:tabs>
          <w:tab w:val="left" w:pos="284"/>
        </w:tabs>
        <w:spacing w:after="0"/>
        <w:ind w:left="567" w:hanging="283"/>
        <w:jc w:val="both"/>
        <w:rPr>
          <w:rFonts w:ascii="Times New Roman" w:hAnsi="Times New Roman" w:cs="Times New Roman"/>
          <w:sz w:val="24"/>
          <w:szCs w:val="24"/>
        </w:rPr>
      </w:pPr>
      <w:r w:rsidRPr="00193B2F">
        <w:rPr>
          <w:rFonts w:ascii="Times New Roman" w:hAnsi="Times New Roman" w:cs="Times New Roman"/>
          <w:sz w:val="24"/>
          <w:szCs w:val="24"/>
        </w:rPr>
        <w:t>•</w:t>
      </w:r>
      <w:r w:rsidRPr="00193B2F">
        <w:rPr>
          <w:rFonts w:ascii="Times New Roman" w:hAnsi="Times New Roman" w:cs="Times New Roman"/>
          <w:sz w:val="24"/>
          <w:szCs w:val="24"/>
        </w:rPr>
        <w:tab/>
      </w:r>
      <w:r w:rsidRPr="0080057C">
        <w:rPr>
          <w:rFonts w:ascii="Times New Roman" w:hAnsi="Times New Roman" w:cs="Times New Roman"/>
          <w:i/>
          <w:sz w:val="24"/>
          <w:szCs w:val="24"/>
        </w:rPr>
        <w:t>Обосновани разходи и разумна печалба</w:t>
      </w:r>
      <w:r>
        <w:rPr>
          <w:rFonts w:ascii="Times New Roman" w:hAnsi="Times New Roman" w:cs="Times New Roman"/>
          <w:sz w:val="24"/>
          <w:szCs w:val="24"/>
        </w:rPr>
        <w:t>;</w:t>
      </w:r>
    </w:p>
    <w:p w:rsidR="00F47AC8" w:rsidRDefault="004E18C1" w:rsidP="004E18C1">
      <w:pPr>
        <w:jc w:val="both"/>
        <w:rPr>
          <w:rFonts w:ascii="Times New Roman" w:hAnsi="Times New Roman" w:cs="Times New Roman"/>
          <w:sz w:val="24"/>
          <w:szCs w:val="24"/>
        </w:rPr>
      </w:pPr>
      <w:r w:rsidRPr="004E18C1">
        <w:rPr>
          <w:rFonts w:ascii="Times New Roman" w:hAnsi="Times New Roman" w:cs="Times New Roman"/>
          <w:sz w:val="24"/>
          <w:szCs w:val="24"/>
        </w:rPr>
        <w:t>Използваният ценообразуващ модел е в съответствие с международните практики, като методите на регулиране на дружествата от сектор „</w:t>
      </w:r>
      <w:proofErr w:type="spellStart"/>
      <w:r w:rsidRPr="004E18C1">
        <w:rPr>
          <w:rFonts w:ascii="Times New Roman" w:hAnsi="Times New Roman" w:cs="Times New Roman"/>
          <w:sz w:val="24"/>
          <w:szCs w:val="24"/>
        </w:rPr>
        <w:t>Електроенергетика</w:t>
      </w:r>
      <w:proofErr w:type="spellEnd"/>
      <w:r w:rsidRPr="004E18C1">
        <w:rPr>
          <w:rFonts w:ascii="Times New Roman" w:hAnsi="Times New Roman" w:cs="Times New Roman"/>
          <w:sz w:val="24"/>
          <w:szCs w:val="24"/>
        </w:rPr>
        <w:t>“, а именно</w:t>
      </w:r>
      <w:r w:rsidR="0080057C">
        <w:rPr>
          <w:rFonts w:ascii="Times New Roman" w:hAnsi="Times New Roman" w:cs="Times New Roman"/>
          <w:sz w:val="24"/>
          <w:szCs w:val="24"/>
        </w:rPr>
        <w:t xml:space="preserve"> -</w:t>
      </w:r>
      <w:r w:rsidRPr="004E18C1">
        <w:rPr>
          <w:rFonts w:ascii="Times New Roman" w:hAnsi="Times New Roman" w:cs="Times New Roman"/>
          <w:sz w:val="24"/>
          <w:szCs w:val="24"/>
        </w:rPr>
        <w:t xml:space="preserve"> „горна граница на прихо</w:t>
      </w:r>
      <w:r>
        <w:rPr>
          <w:rFonts w:ascii="Times New Roman" w:hAnsi="Times New Roman" w:cs="Times New Roman"/>
          <w:sz w:val="24"/>
          <w:szCs w:val="24"/>
        </w:rPr>
        <w:t>ди“ и „норма на възвръщаемост“</w:t>
      </w:r>
      <w:r w:rsidR="0080057C">
        <w:rPr>
          <w:rFonts w:ascii="Times New Roman" w:hAnsi="Times New Roman" w:cs="Times New Roman"/>
          <w:sz w:val="24"/>
          <w:szCs w:val="24"/>
        </w:rPr>
        <w:t>,</w:t>
      </w:r>
      <w:r>
        <w:rPr>
          <w:rFonts w:ascii="Times New Roman" w:hAnsi="Times New Roman" w:cs="Times New Roman"/>
          <w:sz w:val="24"/>
          <w:szCs w:val="24"/>
        </w:rPr>
        <w:t xml:space="preserve"> са</w:t>
      </w:r>
      <w:r w:rsidRPr="004E18C1">
        <w:rPr>
          <w:rFonts w:ascii="Times New Roman" w:hAnsi="Times New Roman" w:cs="Times New Roman"/>
          <w:sz w:val="24"/>
          <w:szCs w:val="24"/>
        </w:rPr>
        <w:t xml:space="preserve"> използван</w:t>
      </w:r>
      <w:r w:rsidR="001E4D40">
        <w:rPr>
          <w:rFonts w:ascii="Times New Roman" w:hAnsi="Times New Roman" w:cs="Times New Roman"/>
          <w:sz w:val="24"/>
          <w:szCs w:val="24"/>
        </w:rPr>
        <w:t>и</w:t>
      </w:r>
      <w:r w:rsidRPr="004E18C1">
        <w:rPr>
          <w:rFonts w:ascii="Times New Roman" w:hAnsi="Times New Roman" w:cs="Times New Roman"/>
          <w:sz w:val="24"/>
          <w:szCs w:val="24"/>
        </w:rPr>
        <w:t xml:space="preserve"> от почти всички регулатори в Европа. </w:t>
      </w:r>
    </w:p>
    <w:p w:rsidR="00F47AC8" w:rsidRDefault="00F47AC8" w:rsidP="00F47AC8">
      <w:pPr>
        <w:autoSpaceDE w:val="0"/>
        <w:autoSpaceDN w:val="0"/>
        <w:adjustRightInd w:val="0"/>
        <w:spacing w:after="60"/>
        <w:jc w:val="both"/>
        <w:rPr>
          <w:rFonts w:ascii="Times New Roman" w:hAnsi="Times New Roman" w:cs="Times New Roman"/>
          <w:sz w:val="24"/>
          <w:szCs w:val="24"/>
        </w:rPr>
      </w:pPr>
      <w:r>
        <w:rPr>
          <w:rFonts w:ascii="Times New Roman" w:hAnsi="Times New Roman" w:cs="Times New Roman"/>
          <w:sz w:val="24"/>
          <w:szCs w:val="24"/>
        </w:rPr>
        <w:t xml:space="preserve">Методът „норма на възвръщаемост“ </w:t>
      </w:r>
      <w:r w:rsidRPr="00F47AC8">
        <w:rPr>
          <w:rFonts w:ascii="Times New Roman" w:hAnsi="Times New Roman" w:cs="Times New Roman"/>
          <w:sz w:val="24"/>
          <w:szCs w:val="24"/>
        </w:rPr>
        <w:t>с регулаторен период не по-кратък от една година,</w:t>
      </w:r>
      <w:r>
        <w:rPr>
          <w:rFonts w:ascii="Times New Roman" w:hAnsi="Times New Roman" w:cs="Times New Roman"/>
          <w:sz w:val="24"/>
          <w:szCs w:val="24"/>
        </w:rPr>
        <w:t xml:space="preserve"> се използва при регулиране на </w:t>
      </w:r>
      <w:r w:rsidR="00B4188D">
        <w:rPr>
          <w:rFonts w:ascii="Times New Roman" w:hAnsi="Times New Roman" w:cs="Times New Roman"/>
          <w:sz w:val="24"/>
          <w:szCs w:val="24"/>
        </w:rPr>
        <w:t>производителите на електрическа енергия</w:t>
      </w:r>
      <w:r>
        <w:rPr>
          <w:rFonts w:ascii="Times New Roman" w:hAnsi="Times New Roman" w:cs="Times New Roman"/>
          <w:sz w:val="24"/>
          <w:szCs w:val="24"/>
        </w:rPr>
        <w:t>.</w:t>
      </w:r>
      <w:r w:rsidRPr="00F47AC8">
        <w:rPr>
          <w:rFonts w:ascii="Times New Roman" w:hAnsi="Times New Roman" w:cs="Times New Roman"/>
          <w:sz w:val="24"/>
          <w:szCs w:val="24"/>
        </w:rPr>
        <w:t xml:space="preserve"> Комисията след регулаторен преглед утвърждава цени въз основа на утвърдени необходими приходи, включващи прогнозни икономически обосновани раз</w:t>
      </w:r>
      <w:r w:rsidR="00B4188D">
        <w:rPr>
          <w:rFonts w:ascii="Times New Roman" w:hAnsi="Times New Roman" w:cs="Times New Roman"/>
          <w:sz w:val="24"/>
          <w:szCs w:val="24"/>
        </w:rPr>
        <w:t>ходи и възвръщаемост</w:t>
      </w:r>
      <w:r w:rsidRPr="00F47AC8">
        <w:rPr>
          <w:rFonts w:ascii="Times New Roman" w:hAnsi="Times New Roman" w:cs="Times New Roman"/>
          <w:sz w:val="24"/>
          <w:szCs w:val="24"/>
        </w:rPr>
        <w:t xml:space="preserve">. Следващ регулаторен преглед се извършва по указания на Комисията или по заявление </w:t>
      </w:r>
      <w:r w:rsidRPr="00F47AC8">
        <w:rPr>
          <w:rFonts w:ascii="Times New Roman" w:hAnsi="Times New Roman" w:cs="Times New Roman"/>
          <w:sz w:val="24"/>
          <w:szCs w:val="24"/>
        </w:rPr>
        <w:lastRenderedPageBreak/>
        <w:t xml:space="preserve">на енергийното предприятие, при съществени отклонения между одобрените и действителните разходи и/или възвръщаемост, в зависимост от резултатите от текущото наблюдение на Комисията върху дейността на производителите на </w:t>
      </w:r>
      <w:r w:rsidR="00B4188D">
        <w:rPr>
          <w:rFonts w:ascii="Times New Roman" w:hAnsi="Times New Roman" w:cs="Times New Roman"/>
          <w:sz w:val="24"/>
          <w:szCs w:val="24"/>
        </w:rPr>
        <w:t>електрическа енергия</w:t>
      </w:r>
      <w:r>
        <w:rPr>
          <w:rFonts w:ascii="Times New Roman" w:hAnsi="Times New Roman" w:cs="Times New Roman"/>
          <w:sz w:val="24"/>
          <w:szCs w:val="24"/>
        </w:rPr>
        <w:t>. Основните силни страни на метода са:</w:t>
      </w:r>
    </w:p>
    <w:p w:rsidR="00F47AC8" w:rsidRPr="00F47AC8" w:rsidRDefault="00F47AC8" w:rsidP="0080057C">
      <w:pPr>
        <w:autoSpaceDE w:val="0"/>
        <w:autoSpaceDN w:val="0"/>
        <w:adjustRightInd w:val="0"/>
        <w:spacing w:after="0"/>
        <w:ind w:left="567" w:hanging="141"/>
        <w:jc w:val="both"/>
        <w:rPr>
          <w:rFonts w:ascii="Times New Roman" w:hAnsi="Times New Roman" w:cs="Times New Roman"/>
          <w:sz w:val="24"/>
          <w:szCs w:val="24"/>
        </w:rPr>
      </w:pPr>
      <w:r w:rsidRPr="00F47AC8">
        <w:rPr>
          <w:rFonts w:ascii="Times New Roman" w:hAnsi="Times New Roman" w:cs="Times New Roman"/>
          <w:sz w:val="24"/>
          <w:szCs w:val="24"/>
        </w:rPr>
        <w:t>- създава се пряка възможност за възстановяване на разходите на регулираното предприятие и възможности за инвестиции;</w:t>
      </w:r>
    </w:p>
    <w:p w:rsidR="00F47AC8" w:rsidRPr="00F47AC8" w:rsidRDefault="00F47AC8" w:rsidP="0080057C">
      <w:pPr>
        <w:autoSpaceDE w:val="0"/>
        <w:autoSpaceDN w:val="0"/>
        <w:adjustRightInd w:val="0"/>
        <w:spacing w:after="0"/>
        <w:ind w:left="567" w:hanging="141"/>
        <w:jc w:val="both"/>
        <w:rPr>
          <w:rFonts w:ascii="Times New Roman" w:hAnsi="Times New Roman" w:cs="Times New Roman"/>
          <w:sz w:val="24"/>
          <w:szCs w:val="24"/>
        </w:rPr>
      </w:pPr>
      <w:r w:rsidRPr="00F47AC8">
        <w:rPr>
          <w:rFonts w:ascii="Times New Roman" w:hAnsi="Times New Roman" w:cs="Times New Roman"/>
          <w:sz w:val="24"/>
          <w:szCs w:val="24"/>
        </w:rPr>
        <w:t xml:space="preserve">- стимулира се предприятието да поддържа капиталовите активи, а потребителите да бъдат защитени чрез цените, като регулаторът ограничава дружествата от необосновано висока печалба до нива, съответстващи на цената на капитала; </w:t>
      </w:r>
    </w:p>
    <w:p w:rsidR="00F47AC8" w:rsidRPr="00F47AC8" w:rsidRDefault="00F47AC8" w:rsidP="0080057C">
      <w:pPr>
        <w:autoSpaceDE w:val="0"/>
        <w:autoSpaceDN w:val="0"/>
        <w:adjustRightInd w:val="0"/>
        <w:spacing w:after="0"/>
        <w:ind w:left="567" w:hanging="141"/>
        <w:jc w:val="both"/>
        <w:rPr>
          <w:rFonts w:ascii="Times New Roman" w:hAnsi="Times New Roman" w:cs="Times New Roman"/>
          <w:sz w:val="24"/>
          <w:szCs w:val="24"/>
        </w:rPr>
      </w:pPr>
      <w:r w:rsidRPr="00F47AC8">
        <w:rPr>
          <w:rFonts w:ascii="Times New Roman" w:hAnsi="Times New Roman" w:cs="Times New Roman"/>
          <w:sz w:val="24"/>
          <w:szCs w:val="24"/>
        </w:rPr>
        <w:t>- създава се възможност за гъвкаво отразяване в цените на настъпили обстоятелства през годината, чието настъпване не е могло да бъде предвидено при утвърждаването им.</w:t>
      </w:r>
    </w:p>
    <w:p w:rsidR="00F47AC8" w:rsidRDefault="00F47AC8" w:rsidP="00F47AC8">
      <w:pPr>
        <w:autoSpaceDE w:val="0"/>
        <w:autoSpaceDN w:val="0"/>
        <w:adjustRightInd w:val="0"/>
        <w:spacing w:after="120"/>
        <w:jc w:val="both"/>
        <w:rPr>
          <w:rFonts w:ascii="Times New Roman" w:hAnsi="Times New Roman" w:cs="Times New Roman"/>
          <w:sz w:val="24"/>
          <w:szCs w:val="24"/>
        </w:rPr>
      </w:pPr>
      <w:r w:rsidRPr="00F47AC8">
        <w:rPr>
          <w:rFonts w:ascii="Times New Roman" w:hAnsi="Times New Roman" w:cs="Times New Roman"/>
          <w:sz w:val="24"/>
          <w:szCs w:val="24"/>
        </w:rPr>
        <w:t xml:space="preserve">Недостатък на метода е, че всички </w:t>
      </w:r>
      <w:r w:rsidR="0080057C">
        <w:rPr>
          <w:rFonts w:ascii="Times New Roman" w:hAnsi="Times New Roman" w:cs="Times New Roman"/>
          <w:sz w:val="24"/>
          <w:szCs w:val="24"/>
        </w:rPr>
        <w:t>одобрени</w:t>
      </w:r>
      <w:r w:rsidRPr="00F47AC8">
        <w:rPr>
          <w:rFonts w:ascii="Times New Roman" w:hAnsi="Times New Roman" w:cs="Times New Roman"/>
          <w:sz w:val="24"/>
          <w:szCs w:val="24"/>
        </w:rPr>
        <w:t xml:space="preserve"> разходи се прехвърлят към крайните клиенти и регулираното предприятие няма стимул за тяхното намаляване.</w:t>
      </w:r>
    </w:p>
    <w:p w:rsidR="000123F5" w:rsidRPr="000123F5" w:rsidRDefault="004E18C1" w:rsidP="000123F5">
      <w:pPr>
        <w:jc w:val="both"/>
        <w:rPr>
          <w:rFonts w:ascii="Times New Roman" w:hAnsi="Times New Roman" w:cs="Times New Roman"/>
          <w:sz w:val="24"/>
          <w:szCs w:val="24"/>
        </w:rPr>
      </w:pPr>
      <w:r>
        <w:rPr>
          <w:rFonts w:ascii="Times New Roman" w:hAnsi="Times New Roman" w:cs="Times New Roman"/>
          <w:sz w:val="24"/>
          <w:szCs w:val="24"/>
        </w:rPr>
        <w:t>С</w:t>
      </w:r>
      <w:r w:rsidRPr="004E18C1">
        <w:rPr>
          <w:rFonts w:ascii="Times New Roman" w:hAnsi="Times New Roman" w:cs="Times New Roman"/>
          <w:sz w:val="24"/>
          <w:szCs w:val="24"/>
        </w:rPr>
        <w:t xml:space="preserve"> оглед спецификата на дейността „разпределение на електрическа енергия“ най-подходящия</w:t>
      </w:r>
      <w:r w:rsidR="0080057C">
        <w:rPr>
          <w:rFonts w:ascii="Times New Roman" w:hAnsi="Times New Roman" w:cs="Times New Roman"/>
          <w:sz w:val="24"/>
          <w:szCs w:val="24"/>
        </w:rPr>
        <w:t>т</w:t>
      </w:r>
      <w:r w:rsidRPr="004E18C1">
        <w:rPr>
          <w:rFonts w:ascii="Times New Roman" w:hAnsi="Times New Roman" w:cs="Times New Roman"/>
          <w:sz w:val="24"/>
          <w:szCs w:val="24"/>
        </w:rPr>
        <w:t xml:space="preserve"> метод за регулиране на цените за достъп и за пренос, прилагани от електроразпределителните дружества, е методът чрез стимули </w:t>
      </w:r>
      <w:r w:rsidR="0080057C">
        <w:rPr>
          <w:rFonts w:ascii="Times New Roman" w:hAnsi="Times New Roman" w:cs="Times New Roman"/>
          <w:sz w:val="24"/>
          <w:szCs w:val="24"/>
        </w:rPr>
        <w:t xml:space="preserve">- </w:t>
      </w:r>
      <w:r w:rsidRPr="004E18C1">
        <w:rPr>
          <w:rFonts w:ascii="Times New Roman" w:hAnsi="Times New Roman" w:cs="Times New Roman"/>
          <w:sz w:val="24"/>
          <w:szCs w:val="24"/>
        </w:rPr>
        <w:t>„горна граница на приходи“. При този метод на регулиране  енергийните дружества са мотивирани да работят по-ефективно, тъй като имат възможност да реализират допълнителна възвръщаемост, ако постигнат целевите показатели, определени от регулатора. Този метод води до насърчаване на бизнес активността и ефективността на работата на регулираните дружества и създава възможност за въвеждане на ясни критерии за изпълнение на определени от енергийния регулатор показатели за качество, като инструмент за осъществяване на регулаторната политика в защита на потребителите. Основната цел на регулирането на цените чрез метода “горна граница на приходи” е на енер</w:t>
      </w:r>
      <w:r w:rsidR="0080057C">
        <w:rPr>
          <w:rFonts w:ascii="Times New Roman" w:hAnsi="Times New Roman" w:cs="Times New Roman"/>
          <w:sz w:val="24"/>
          <w:szCs w:val="24"/>
        </w:rPr>
        <w:t xml:space="preserve">гийните предприятия да бъдат </w:t>
      </w:r>
      <w:r w:rsidRPr="004E18C1">
        <w:rPr>
          <w:rFonts w:ascii="Times New Roman" w:hAnsi="Times New Roman" w:cs="Times New Roman"/>
          <w:sz w:val="24"/>
          <w:szCs w:val="24"/>
        </w:rPr>
        <w:t xml:space="preserve">дадени стимули за намаляване на техните разходи. Това се постига </w:t>
      </w:r>
      <w:r w:rsidR="0080057C">
        <w:rPr>
          <w:rFonts w:ascii="Times New Roman" w:hAnsi="Times New Roman" w:cs="Times New Roman"/>
          <w:sz w:val="24"/>
          <w:szCs w:val="24"/>
        </w:rPr>
        <w:t xml:space="preserve">чрез определянето на </w:t>
      </w:r>
      <w:r w:rsidRPr="004E18C1">
        <w:rPr>
          <w:rFonts w:ascii="Times New Roman" w:hAnsi="Times New Roman" w:cs="Times New Roman"/>
          <w:sz w:val="24"/>
          <w:szCs w:val="24"/>
        </w:rPr>
        <w:t xml:space="preserve">приходите, които едно предприятие би могло да получава за период от няколко години, независимо от размера на разходите, които то прави през този период. Стимулите за регулираното предприятие са свързани с възможността му да управлява свободно доходността от дейността си по време на предварително определения регулаторен период. Утвърждаването на необходимите годишни приходи за дейността за първата година от регулаторния период и тяхното изменение само с </w:t>
      </w:r>
      <w:proofErr w:type="spellStart"/>
      <w:r w:rsidRPr="004E18C1">
        <w:rPr>
          <w:rFonts w:ascii="Times New Roman" w:hAnsi="Times New Roman" w:cs="Times New Roman"/>
          <w:sz w:val="24"/>
          <w:szCs w:val="24"/>
        </w:rPr>
        <w:t>корекционните</w:t>
      </w:r>
      <w:proofErr w:type="spellEnd"/>
      <w:r w:rsidRPr="004E18C1">
        <w:rPr>
          <w:rFonts w:ascii="Times New Roman" w:hAnsi="Times New Roman" w:cs="Times New Roman"/>
          <w:sz w:val="24"/>
          <w:szCs w:val="24"/>
        </w:rPr>
        <w:t xml:space="preserve"> фактори през останалите ценови години на регулаторния период осигурява по-голяма </w:t>
      </w:r>
      <w:proofErr w:type="spellStart"/>
      <w:r w:rsidRPr="004E18C1">
        <w:rPr>
          <w:rFonts w:ascii="Times New Roman" w:hAnsi="Times New Roman" w:cs="Times New Roman"/>
          <w:sz w:val="24"/>
          <w:szCs w:val="24"/>
        </w:rPr>
        <w:t>прогнозируемост</w:t>
      </w:r>
      <w:proofErr w:type="spellEnd"/>
      <w:r w:rsidRPr="004E18C1">
        <w:rPr>
          <w:rFonts w:ascii="Times New Roman" w:hAnsi="Times New Roman" w:cs="Times New Roman"/>
          <w:sz w:val="24"/>
          <w:szCs w:val="24"/>
        </w:rPr>
        <w:t xml:space="preserve"> и инвестиции, насочени към постигане на целевите показатели, които да обезпечат и гарантират оптимизиране на разходите и подобряване ефективността на работата на дружествата.</w:t>
      </w:r>
      <w:r>
        <w:rPr>
          <w:rFonts w:ascii="Times New Roman" w:hAnsi="Times New Roman" w:cs="Times New Roman"/>
          <w:sz w:val="24"/>
          <w:szCs w:val="24"/>
        </w:rPr>
        <w:t xml:space="preserve"> </w:t>
      </w:r>
      <w:r w:rsidR="000123F5" w:rsidRPr="000123F5">
        <w:rPr>
          <w:rFonts w:ascii="Times New Roman" w:hAnsi="Times New Roman" w:cs="Times New Roman"/>
          <w:sz w:val="24"/>
          <w:szCs w:val="24"/>
        </w:rPr>
        <w:t>Прилаганият метод на регулиране „горна граница на приходите” предполаг</w:t>
      </w:r>
      <w:r w:rsidR="0080057C">
        <w:rPr>
          <w:rFonts w:ascii="Times New Roman" w:hAnsi="Times New Roman" w:cs="Times New Roman"/>
          <w:sz w:val="24"/>
          <w:szCs w:val="24"/>
        </w:rPr>
        <w:t>а за всеки регулаторен период</w:t>
      </w:r>
      <w:r w:rsidR="000123F5">
        <w:rPr>
          <w:rFonts w:ascii="Times New Roman" w:hAnsi="Times New Roman" w:cs="Times New Roman"/>
          <w:sz w:val="24"/>
          <w:szCs w:val="24"/>
        </w:rPr>
        <w:t xml:space="preserve"> к</w:t>
      </w:r>
      <w:r w:rsidR="000123F5" w:rsidRPr="000123F5">
        <w:rPr>
          <w:rFonts w:ascii="Times New Roman" w:hAnsi="Times New Roman" w:cs="Times New Roman"/>
          <w:sz w:val="24"/>
          <w:szCs w:val="24"/>
        </w:rPr>
        <w:t>омисията да установи необходимото общо ниво на приходите на дружествата, при което те да могат да осъществяват дейността си по лицензията, без създаване на предпоставки за необосновано високи печалби или загуби за дружествата.</w:t>
      </w:r>
    </w:p>
    <w:p w:rsidR="000123F5" w:rsidRDefault="000123F5" w:rsidP="004E18C1">
      <w:pPr>
        <w:jc w:val="both"/>
        <w:rPr>
          <w:rFonts w:ascii="Times New Roman" w:hAnsi="Times New Roman" w:cs="Times New Roman"/>
          <w:sz w:val="24"/>
          <w:szCs w:val="24"/>
        </w:rPr>
      </w:pPr>
      <w:r w:rsidRPr="000123F5">
        <w:rPr>
          <w:rFonts w:ascii="Times New Roman" w:hAnsi="Times New Roman" w:cs="Times New Roman"/>
          <w:sz w:val="24"/>
          <w:szCs w:val="24"/>
        </w:rPr>
        <w:t>Предвид намаленото потребление на сегмента от пазара на електрическа енергия, обслужван от крайните снабдители, комисията е приела при утвърждаването на тарифите, по които електроснабдителните дружества продават електрическа енергия на крайните клиен</w:t>
      </w:r>
      <w:r w:rsidR="00B4188D">
        <w:rPr>
          <w:rFonts w:ascii="Times New Roman" w:hAnsi="Times New Roman" w:cs="Times New Roman"/>
          <w:sz w:val="24"/>
          <w:szCs w:val="24"/>
        </w:rPr>
        <w:t>ти да прилага метод с</w:t>
      </w:r>
      <w:r w:rsidRPr="000123F5">
        <w:rPr>
          <w:rFonts w:ascii="Times New Roman" w:hAnsi="Times New Roman" w:cs="Times New Roman"/>
          <w:sz w:val="24"/>
          <w:szCs w:val="24"/>
        </w:rPr>
        <w:t xml:space="preserve"> надценка върху разходите на крайните снабдители за електрическа енергия, която да отразява оперативните разходи на дружеството и възвращаемостта. Преминаването на по-голямата част от стопанските потребители към свободния пазар предполага оптимизация на разходите на </w:t>
      </w:r>
      <w:r w:rsidRPr="000123F5">
        <w:rPr>
          <w:rFonts w:ascii="Times New Roman" w:hAnsi="Times New Roman" w:cs="Times New Roman"/>
          <w:sz w:val="24"/>
          <w:szCs w:val="24"/>
        </w:rPr>
        <w:lastRenderedPageBreak/>
        <w:t xml:space="preserve">електроснабдителните дружества, с оглед постигане на </w:t>
      </w:r>
      <w:proofErr w:type="spellStart"/>
      <w:r w:rsidRPr="000123F5">
        <w:rPr>
          <w:rFonts w:ascii="Times New Roman" w:hAnsi="Times New Roman" w:cs="Times New Roman"/>
          <w:sz w:val="24"/>
          <w:szCs w:val="24"/>
        </w:rPr>
        <w:t>равнопоставеност</w:t>
      </w:r>
      <w:proofErr w:type="spellEnd"/>
      <w:r w:rsidRPr="000123F5">
        <w:rPr>
          <w:rFonts w:ascii="Times New Roman" w:hAnsi="Times New Roman" w:cs="Times New Roman"/>
          <w:sz w:val="24"/>
          <w:szCs w:val="24"/>
        </w:rPr>
        <w:t xml:space="preserve"> между клиентите, избрали пазара по свободно договорени цени и клиентите на крайните снабдители, при които цените на електрическата енергия се утвърждават от регулатора, а не при прилагане на пазарните механизми. Следва да се има предвид и европейската практика, която показва, че при пълно либерализиране на пазара на електрическа енергия, което предстои да се осъществи и в България, оптимизирането на разходите на снабдителите е от изключителна важност и се случва по естествен път поради минималните маржове на конкурентните пазари. За електроснабдителните дружества цените са определени като утвърдените от комисията необходими годишни приходи за дейностите по лицензията за краен снабдител с електрическа енергия включват и надценка за дейността </w:t>
      </w:r>
      <w:r>
        <w:rPr>
          <w:rFonts w:ascii="Times New Roman" w:hAnsi="Times New Roman" w:cs="Times New Roman"/>
          <w:sz w:val="24"/>
          <w:szCs w:val="24"/>
        </w:rPr>
        <w:t>„</w:t>
      </w:r>
      <w:r w:rsidRPr="000123F5">
        <w:rPr>
          <w:rFonts w:ascii="Times New Roman" w:hAnsi="Times New Roman" w:cs="Times New Roman"/>
          <w:sz w:val="24"/>
          <w:szCs w:val="24"/>
        </w:rPr>
        <w:t>краен снабдител</w:t>
      </w:r>
      <w:r>
        <w:rPr>
          <w:rFonts w:ascii="Times New Roman" w:hAnsi="Times New Roman" w:cs="Times New Roman"/>
          <w:sz w:val="24"/>
          <w:szCs w:val="24"/>
        </w:rPr>
        <w:t>“</w:t>
      </w:r>
      <w:r w:rsidRPr="000123F5">
        <w:rPr>
          <w:rFonts w:ascii="Times New Roman" w:hAnsi="Times New Roman" w:cs="Times New Roman"/>
          <w:sz w:val="24"/>
          <w:szCs w:val="24"/>
        </w:rPr>
        <w:t xml:space="preserve"> в размер до 3 на сто от утвърдената средна покупна цена за енергия на дружеството като част от цената по чл. 30, ал. 1, т. 6 от ЗЕ. Надценката включва икономически обосновани разходи и възвръщаемост за дейностите по доставка и снабдяване с електрическа енергия, определени по реда на чл. 9 и чл.14 от Наредба №1 за регулиране на цените на електрическата енергия.</w:t>
      </w:r>
    </w:p>
    <w:p w:rsidR="004E18C1" w:rsidRDefault="000123F5" w:rsidP="004E18C1">
      <w:pPr>
        <w:jc w:val="both"/>
        <w:rPr>
          <w:rFonts w:ascii="Times New Roman" w:hAnsi="Times New Roman" w:cs="Times New Roman"/>
          <w:sz w:val="24"/>
          <w:szCs w:val="24"/>
        </w:rPr>
      </w:pPr>
      <w:r>
        <w:rPr>
          <w:rFonts w:ascii="Times New Roman" w:hAnsi="Times New Roman" w:cs="Times New Roman"/>
          <w:sz w:val="24"/>
          <w:szCs w:val="24"/>
        </w:rPr>
        <w:t>С</w:t>
      </w:r>
      <w:r w:rsidR="00644234">
        <w:rPr>
          <w:rFonts w:ascii="Times New Roman" w:hAnsi="Times New Roman" w:cs="Times New Roman"/>
          <w:sz w:val="24"/>
          <w:szCs w:val="24"/>
        </w:rPr>
        <w:t xml:space="preserve"> оглед препоръките на ЕК</w:t>
      </w:r>
      <w:r w:rsidR="004E18C1" w:rsidRPr="004E18C1">
        <w:rPr>
          <w:rFonts w:ascii="Times New Roman" w:hAnsi="Times New Roman" w:cs="Times New Roman"/>
          <w:sz w:val="24"/>
          <w:szCs w:val="24"/>
        </w:rPr>
        <w:t xml:space="preserve"> </w:t>
      </w:r>
      <w:r w:rsidR="001E4D40">
        <w:rPr>
          <w:rFonts w:ascii="Times New Roman" w:hAnsi="Times New Roman" w:cs="Times New Roman"/>
          <w:sz w:val="24"/>
          <w:szCs w:val="24"/>
        </w:rPr>
        <w:t>и Световната банка</w:t>
      </w:r>
      <w:r w:rsidR="007A478C">
        <w:rPr>
          <w:rFonts w:ascii="Times New Roman" w:hAnsi="Times New Roman" w:cs="Times New Roman"/>
          <w:sz w:val="24"/>
          <w:szCs w:val="24"/>
        </w:rPr>
        <w:t xml:space="preserve"> от 2013 г.,</w:t>
      </w:r>
      <w:r w:rsidR="001E4D40">
        <w:rPr>
          <w:rFonts w:ascii="Times New Roman" w:hAnsi="Times New Roman" w:cs="Times New Roman"/>
          <w:sz w:val="24"/>
          <w:szCs w:val="24"/>
        </w:rPr>
        <w:t xml:space="preserve"> през последната година </w:t>
      </w:r>
      <w:r w:rsidR="004E18C1" w:rsidRPr="004E18C1">
        <w:rPr>
          <w:rFonts w:ascii="Times New Roman" w:hAnsi="Times New Roman" w:cs="Times New Roman"/>
          <w:sz w:val="24"/>
          <w:szCs w:val="24"/>
        </w:rPr>
        <w:t>б</w:t>
      </w:r>
      <w:r w:rsidR="001E4D40">
        <w:rPr>
          <w:rFonts w:ascii="Times New Roman" w:hAnsi="Times New Roman" w:cs="Times New Roman"/>
          <w:sz w:val="24"/>
          <w:szCs w:val="24"/>
        </w:rPr>
        <w:t>яха извършени</w:t>
      </w:r>
      <w:r w:rsidR="004E18C1" w:rsidRPr="004E18C1">
        <w:rPr>
          <w:rFonts w:ascii="Times New Roman" w:hAnsi="Times New Roman" w:cs="Times New Roman"/>
          <w:sz w:val="24"/>
          <w:szCs w:val="24"/>
        </w:rPr>
        <w:t xml:space="preserve"> пром</w:t>
      </w:r>
      <w:r w:rsidR="001E4D40">
        <w:rPr>
          <w:rFonts w:ascii="Times New Roman" w:hAnsi="Times New Roman" w:cs="Times New Roman"/>
          <w:sz w:val="24"/>
          <w:szCs w:val="24"/>
        </w:rPr>
        <w:t>е</w:t>
      </w:r>
      <w:r w:rsidR="004E18C1" w:rsidRPr="004E18C1">
        <w:rPr>
          <w:rFonts w:ascii="Times New Roman" w:hAnsi="Times New Roman" w:cs="Times New Roman"/>
          <w:sz w:val="24"/>
          <w:szCs w:val="24"/>
        </w:rPr>
        <w:t>н</w:t>
      </w:r>
      <w:r w:rsidR="001E4D40">
        <w:rPr>
          <w:rFonts w:ascii="Times New Roman" w:hAnsi="Times New Roman" w:cs="Times New Roman"/>
          <w:sz w:val="24"/>
          <w:szCs w:val="24"/>
        </w:rPr>
        <w:t>и</w:t>
      </w:r>
      <w:r w:rsidR="004E18C1" w:rsidRPr="004E18C1">
        <w:rPr>
          <w:rFonts w:ascii="Times New Roman" w:hAnsi="Times New Roman" w:cs="Times New Roman"/>
          <w:sz w:val="24"/>
          <w:szCs w:val="24"/>
        </w:rPr>
        <w:t xml:space="preserve"> </w:t>
      </w:r>
      <w:r w:rsidR="001E4D40">
        <w:rPr>
          <w:rFonts w:ascii="Times New Roman" w:hAnsi="Times New Roman" w:cs="Times New Roman"/>
          <w:sz w:val="24"/>
          <w:szCs w:val="24"/>
        </w:rPr>
        <w:t xml:space="preserve">в ценовия модел </w:t>
      </w:r>
      <w:r w:rsidR="004E18C1" w:rsidRPr="004E18C1">
        <w:rPr>
          <w:rFonts w:ascii="Times New Roman" w:hAnsi="Times New Roman" w:cs="Times New Roman"/>
          <w:sz w:val="24"/>
          <w:szCs w:val="24"/>
        </w:rPr>
        <w:t>свързан</w:t>
      </w:r>
      <w:r w:rsidR="001E4D40">
        <w:rPr>
          <w:rFonts w:ascii="Times New Roman" w:hAnsi="Times New Roman" w:cs="Times New Roman"/>
          <w:sz w:val="24"/>
          <w:szCs w:val="24"/>
        </w:rPr>
        <w:t>и</w:t>
      </w:r>
      <w:r w:rsidR="004E18C1" w:rsidRPr="004E18C1">
        <w:rPr>
          <w:rFonts w:ascii="Times New Roman" w:hAnsi="Times New Roman" w:cs="Times New Roman"/>
          <w:sz w:val="24"/>
          <w:szCs w:val="24"/>
        </w:rPr>
        <w:t xml:space="preserve"> с необходимостта </w:t>
      </w:r>
      <w:r w:rsidR="001E4D40">
        <w:rPr>
          <w:rFonts w:ascii="Times New Roman" w:hAnsi="Times New Roman" w:cs="Times New Roman"/>
          <w:sz w:val="24"/>
          <w:szCs w:val="24"/>
        </w:rPr>
        <w:t xml:space="preserve">той </w:t>
      </w:r>
      <w:r w:rsidR="004E18C1" w:rsidRPr="004E18C1">
        <w:rPr>
          <w:rFonts w:ascii="Times New Roman" w:hAnsi="Times New Roman" w:cs="Times New Roman"/>
          <w:sz w:val="24"/>
          <w:szCs w:val="24"/>
        </w:rPr>
        <w:t>да бъде адаптиран в съответствие с реалните условия на пазара на електрическа енергия и неговото поетапно либерализиране, при отчитане и премахване на следните слабости:</w:t>
      </w:r>
    </w:p>
    <w:p w:rsidR="00A84BB9" w:rsidRDefault="000123F5" w:rsidP="0080057C">
      <w:pPr>
        <w:jc w:val="both"/>
        <w:rPr>
          <w:rFonts w:ascii="Times New Roman" w:hAnsi="Times New Roman" w:cs="Times New Roman"/>
          <w:sz w:val="24"/>
          <w:szCs w:val="24"/>
        </w:rPr>
      </w:pPr>
      <w:r w:rsidRPr="000123F5">
        <w:rPr>
          <w:rFonts w:ascii="Times New Roman" w:hAnsi="Times New Roman" w:cs="Times New Roman"/>
          <w:sz w:val="24"/>
          <w:szCs w:val="24"/>
        </w:rPr>
        <w:t xml:space="preserve">- Намаляване на количествата продавана електрическа енергия по свободно договорени цени, поради високата неконкурентна крайна цена при износ на енергия. Причината за това беше пряк резултат от калкулирането към свободно договорената цена за енергия освен на цените за достъп и пренос и на т.нар. „добавки”, които по своята същност отразяваха допълнителни разходи за производство на енергия, които са над нейната пазарна стойност. Нормативно установено задължение беше тези разходи да се покриват чрез цените от всички потребители, включително </w:t>
      </w:r>
      <w:r>
        <w:rPr>
          <w:rFonts w:ascii="Times New Roman" w:hAnsi="Times New Roman" w:cs="Times New Roman"/>
          <w:sz w:val="24"/>
          <w:szCs w:val="24"/>
        </w:rPr>
        <w:t xml:space="preserve">и при износ на електроенергия.  </w:t>
      </w:r>
      <w:r w:rsidRPr="000123F5">
        <w:rPr>
          <w:rFonts w:ascii="Times New Roman" w:hAnsi="Times New Roman" w:cs="Times New Roman"/>
          <w:sz w:val="24"/>
          <w:szCs w:val="24"/>
        </w:rPr>
        <w:t xml:space="preserve">Конкретните действия, предприети за отстраняване на гореизложения проблем се изразяват в премахването на добавките в настоящия ценообразуващ модел, като задълженията на обществения доставчик, съгласно чл.93а от ЗЕ са отразени в </w:t>
      </w:r>
      <w:proofErr w:type="spellStart"/>
      <w:r w:rsidRPr="000123F5">
        <w:rPr>
          <w:rFonts w:ascii="Times New Roman" w:hAnsi="Times New Roman" w:cs="Times New Roman"/>
          <w:sz w:val="24"/>
          <w:szCs w:val="24"/>
        </w:rPr>
        <w:t>миксовата</w:t>
      </w:r>
      <w:proofErr w:type="spellEnd"/>
      <w:r w:rsidRPr="000123F5">
        <w:rPr>
          <w:rFonts w:ascii="Times New Roman" w:hAnsi="Times New Roman" w:cs="Times New Roman"/>
          <w:sz w:val="24"/>
          <w:szCs w:val="24"/>
        </w:rPr>
        <w:t xml:space="preserve"> цена за регулирания пазар и в цената за „задължения към обществото“, дължима от клиентите на свободния пазар. Приетият от ДКЕВР начин на ценообразуване на електрическата енергия третира </w:t>
      </w:r>
      <w:proofErr w:type="spellStart"/>
      <w:r w:rsidRPr="000123F5">
        <w:rPr>
          <w:rFonts w:ascii="Times New Roman" w:hAnsi="Times New Roman" w:cs="Times New Roman"/>
          <w:sz w:val="24"/>
          <w:szCs w:val="24"/>
        </w:rPr>
        <w:t>равнопоставено</w:t>
      </w:r>
      <w:proofErr w:type="spellEnd"/>
      <w:r w:rsidRPr="000123F5">
        <w:rPr>
          <w:rFonts w:ascii="Times New Roman" w:hAnsi="Times New Roman" w:cs="Times New Roman"/>
          <w:sz w:val="24"/>
          <w:szCs w:val="24"/>
        </w:rPr>
        <w:t xml:space="preserve"> всички клиенти, които </w:t>
      </w:r>
      <w:proofErr w:type="spellStart"/>
      <w:r w:rsidRPr="000123F5">
        <w:rPr>
          <w:rFonts w:ascii="Times New Roman" w:hAnsi="Times New Roman" w:cs="Times New Roman"/>
          <w:sz w:val="24"/>
          <w:szCs w:val="24"/>
        </w:rPr>
        <w:t>потребяват</w:t>
      </w:r>
      <w:proofErr w:type="spellEnd"/>
      <w:r w:rsidRPr="000123F5">
        <w:rPr>
          <w:rFonts w:ascii="Times New Roman" w:hAnsi="Times New Roman" w:cs="Times New Roman"/>
          <w:sz w:val="24"/>
          <w:szCs w:val="24"/>
        </w:rPr>
        <w:t xml:space="preserve"> електрическа енергия на територията на страната, </w:t>
      </w:r>
      <w:r>
        <w:rPr>
          <w:rFonts w:ascii="Times New Roman" w:hAnsi="Times New Roman" w:cs="Times New Roman"/>
          <w:sz w:val="24"/>
          <w:szCs w:val="24"/>
        </w:rPr>
        <w:t xml:space="preserve">включително и от внос </w:t>
      </w:r>
      <w:r w:rsidRPr="000123F5">
        <w:rPr>
          <w:rFonts w:ascii="Times New Roman" w:hAnsi="Times New Roman" w:cs="Times New Roman"/>
          <w:sz w:val="24"/>
          <w:szCs w:val="24"/>
        </w:rPr>
        <w:t>при спазване на изискванията на ЗЕ, крайните цени да отразяват  разходите по цялата технологично свързана верига от производството, през преноса по мрежите до нейната доставка. В същото време са създадени реални условия за работа на всички производствени мощности и износ на електрическа енергия.</w:t>
      </w:r>
      <w:r w:rsidR="00A84BB9">
        <w:rPr>
          <w:rFonts w:ascii="Times New Roman" w:hAnsi="Times New Roman" w:cs="Times New Roman"/>
          <w:sz w:val="24"/>
          <w:szCs w:val="24"/>
          <w:lang w:val="en-US"/>
        </w:rPr>
        <w:t xml:space="preserve"> </w:t>
      </w:r>
    </w:p>
    <w:p w:rsidR="00644234" w:rsidRDefault="00A84BB9" w:rsidP="000123F5">
      <w:pPr>
        <w:jc w:val="both"/>
        <w:rPr>
          <w:noProof/>
          <w:lang w:eastAsia="bg-BG"/>
        </w:rPr>
      </w:pPr>
      <w:r>
        <w:rPr>
          <w:rFonts w:ascii="Times New Roman" w:hAnsi="Times New Roman" w:cs="Times New Roman"/>
          <w:sz w:val="24"/>
          <w:szCs w:val="24"/>
        </w:rPr>
        <w:t>В резултат на горното за всеки ценови период, комисията определя задължителни квоти на производителите за покриване на потреблението на регулирания пазар.</w:t>
      </w:r>
      <w:r w:rsidR="00644234">
        <w:rPr>
          <w:rFonts w:ascii="Times New Roman" w:hAnsi="Times New Roman" w:cs="Times New Roman"/>
          <w:sz w:val="24"/>
          <w:szCs w:val="24"/>
        </w:rPr>
        <w:t xml:space="preserve"> Формирането на </w:t>
      </w:r>
      <w:proofErr w:type="spellStart"/>
      <w:r w:rsidR="00644234">
        <w:rPr>
          <w:rFonts w:ascii="Times New Roman" w:hAnsi="Times New Roman" w:cs="Times New Roman"/>
          <w:sz w:val="24"/>
          <w:szCs w:val="24"/>
        </w:rPr>
        <w:t>миксовата</w:t>
      </w:r>
      <w:proofErr w:type="spellEnd"/>
      <w:r w:rsidR="00644234">
        <w:rPr>
          <w:rFonts w:ascii="Times New Roman" w:hAnsi="Times New Roman" w:cs="Times New Roman"/>
          <w:sz w:val="24"/>
          <w:szCs w:val="24"/>
        </w:rPr>
        <w:t xml:space="preserve"> цена, по която обществения</w:t>
      </w:r>
      <w:r w:rsidR="00774FB1">
        <w:rPr>
          <w:rFonts w:ascii="Times New Roman" w:hAnsi="Times New Roman" w:cs="Times New Roman"/>
          <w:sz w:val="24"/>
          <w:szCs w:val="24"/>
        </w:rPr>
        <w:t>т</w:t>
      </w:r>
      <w:r w:rsidR="00644234">
        <w:rPr>
          <w:rFonts w:ascii="Times New Roman" w:hAnsi="Times New Roman" w:cs="Times New Roman"/>
          <w:sz w:val="24"/>
          <w:szCs w:val="24"/>
        </w:rPr>
        <w:t xml:space="preserve"> доставчик продава </w:t>
      </w:r>
      <w:r w:rsidR="00E82187">
        <w:rPr>
          <w:rFonts w:ascii="Times New Roman" w:hAnsi="Times New Roman" w:cs="Times New Roman"/>
          <w:sz w:val="24"/>
          <w:szCs w:val="24"/>
        </w:rPr>
        <w:t>електрическа енергия на крайните снабдители е представено в следващата таблица:</w:t>
      </w:r>
    </w:p>
    <w:p w:rsidR="00E82187" w:rsidRPr="00A84BB9" w:rsidRDefault="00E82187" w:rsidP="000123F5">
      <w:pPr>
        <w:jc w:val="both"/>
        <w:rPr>
          <w:rFonts w:ascii="Times New Roman" w:hAnsi="Times New Roman" w:cs="Times New Roman"/>
          <w:sz w:val="24"/>
          <w:szCs w:val="24"/>
        </w:rPr>
      </w:pPr>
      <w:r w:rsidRPr="00644234">
        <w:rPr>
          <w:noProof/>
          <w:lang w:eastAsia="bg-BG"/>
        </w:rPr>
        <w:lastRenderedPageBreak/>
        <w:drawing>
          <wp:inline distT="0" distB="0" distL="0" distR="0" wp14:anchorId="7B6A5F31" wp14:editId="3AD2DCA7">
            <wp:extent cx="5756745" cy="9700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707290"/>
                    </a:xfrm>
                    <a:prstGeom prst="rect">
                      <a:avLst/>
                    </a:prstGeom>
                    <a:noFill/>
                    <a:ln>
                      <a:noFill/>
                    </a:ln>
                  </pic:spPr>
                </pic:pic>
              </a:graphicData>
            </a:graphic>
          </wp:inline>
        </w:drawing>
      </w:r>
    </w:p>
    <w:p w:rsidR="000123F5" w:rsidRPr="000123F5" w:rsidRDefault="000123F5" w:rsidP="000123F5">
      <w:pPr>
        <w:jc w:val="both"/>
        <w:rPr>
          <w:rFonts w:ascii="Times New Roman" w:hAnsi="Times New Roman" w:cs="Times New Roman"/>
          <w:sz w:val="24"/>
          <w:szCs w:val="24"/>
        </w:rPr>
      </w:pPr>
      <w:r w:rsidRPr="000123F5">
        <w:rPr>
          <w:rFonts w:ascii="Times New Roman" w:hAnsi="Times New Roman" w:cs="Times New Roman"/>
          <w:sz w:val="24"/>
          <w:szCs w:val="24"/>
        </w:rPr>
        <w:lastRenderedPageBreak/>
        <w:t>- Намаляване на относителния дял на клиентите на вътрешния пазар, които купуват енергия по регулирани цени – съгласно ЗЕ по регулирани от ДКЕВР цени за настоящия ценови период могат да купуват енергия само клиентите, присъединени към мрежи ниско напрежение, т.е. битовите потребители и малки стопански обекти. През 2013 г. всички клиенти на високо и средно напрежение са изведени на свободния пазар, с което значително се увеличи делъ</w:t>
      </w:r>
      <w:r w:rsidR="00774FB1">
        <w:rPr>
          <w:rFonts w:ascii="Times New Roman" w:hAnsi="Times New Roman" w:cs="Times New Roman"/>
          <w:sz w:val="24"/>
          <w:szCs w:val="24"/>
        </w:rPr>
        <w:t>т му спрямо регулирания</w:t>
      </w:r>
      <w:r w:rsidRPr="000123F5">
        <w:rPr>
          <w:rFonts w:ascii="Times New Roman" w:hAnsi="Times New Roman" w:cs="Times New Roman"/>
          <w:sz w:val="24"/>
          <w:szCs w:val="24"/>
        </w:rPr>
        <w:t xml:space="preserve">. Създадоха се условия за работа и реално въвеждане на фигурата на т.нар. Доставчик от последна инстанция, който е задължен да осигурява електрическа енергия на тези потребители от </w:t>
      </w:r>
      <w:r w:rsidR="00774FB1">
        <w:rPr>
          <w:rFonts w:ascii="Times New Roman" w:hAnsi="Times New Roman" w:cs="Times New Roman"/>
          <w:sz w:val="24"/>
          <w:szCs w:val="24"/>
        </w:rPr>
        <w:t>свободния</w:t>
      </w:r>
      <w:r w:rsidRPr="000123F5">
        <w:rPr>
          <w:rFonts w:ascii="Times New Roman" w:hAnsi="Times New Roman" w:cs="Times New Roman"/>
          <w:sz w:val="24"/>
          <w:szCs w:val="24"/>
        </w:rPr>
        <w:t xml:space="preserve"> сегмент от пазара, които не са избрали друг търговец на енергия.</w:t>
      </w:r>
    </w:p>
    <w:p w:rsidR="000123F5" w:rsidRPr="000123F5" w:rsidRDefault="000123F5" w:rsidP="000123F5">
      <w:pPr>
        <w:jc w:val="both"/>
        <w:rPr>
          <w:rFonts w:ascii="Times New Roman" w:hAnsi="Times New Roman" w:cs="Times New Roman"/>
          <w:sz w:val="24"/>
          <w:szCs w:val="24"/>
        </w:rPr>
      </w:pPr>
      <w:r w:rsidRPr="000123F5">
        <w:rPr>
          <w:rFonts w:ascii="Times New Roman" w:hAnsi="Times New Roman" w:cs="Times New Roman"/>
          <w:sz w:val="24"/>
          <w:szCs w:val="24"/>
        </w:rPr>
        <w:t xml:space="preserve">- Създаване на конкуренти условия при осигуряване на студен резерв и допълнителни услуги чрез въвеждане на тръжна процедура. Комисията е определила горен праг на </w:t>
      </w:r>
      <w:r w:rsidR="0094212A">
        <w:rPr>
          <w:rFonts w:ascii="Times New Roman" w:hAnsi="Times New Roman" w:cs="Times New Roman"/>
          <w:sz w:val="24"/>
          <w:szCs w:val="24"/>
        </w:rPr>
        <w:t>разходите</w:t>
      </w:r>
      <w:r w:rsidRPr="000123F5">
        <w:rPr>
          <w:rFonts w:ascii="Times New Roman" w:hAnsi="Times New Roman" w:cs="Times New Roman"/>
          <w:sz w:val="24"/>
          <w:szCs w:val="24"/>
        </w:rPr>
        <w:t>, по които ЕСО ЕАД купува студен резерв и допълнителни услуги, като е задължила оператора да организира търгове за закупуване на количествата определени със заповед на Министъра на икономиката и е</w:t>
      </w:r>
      <w:r w:rsidR="0094212A">
        <w:rPr>
          <w:rFonts w:ascii="Times New Roman" w:hAnsi="Times New Roman" w:cs="Times New Roman"/>
          <w:sz w:val="24"/>
          <w:szCs w:val="24"/>
        </w:rPr>
        <w:t>не</w:t>
      </w:r>
      <w:r w:rsidRPr="000123F5">
        <w:rPr>
          <w:rFonts w:ascii="Times New Roman" w:hAnsi="Times New Roman" w:cs="Times New Roman"/>
          <w:sz w:val="24"/>
          <w:szCs w:val="24"/>
        </w:rPr>
        <w:t>ргетиката.</w:t>
      </w:r>
    </w:p>
    <w:p w:rsidR="000123F5" w:rsidRDefault="000123F5" w:rsidP="000123F5">
      <w:pPr>
        <w:jc w:val="both"/>
        <w:rPr>
          <w:rFonts w:ascii="Times New Roman" w:hAnsi="Times New Roman" w:cs="Times New Roman"/>
          <w:sz w:val="24"/>
          <w:szCs w:val="24"/>
        </w:rPr>
      </w:pPr>
      <w:r w:rsidRPr="000123F5">
        <w:rPr>
          <w:rFonts w:ascii="Times New Roman" w:hAnsi="Times New Roman" w:cs="Times New Roman"/>
          <w:sz w:val="24"/>
          <w:szCs w:val="24"/>
        </w:rPr>
        <w:t xml:space="preserve">- Изключване от задължителното изкупуване на количествата електрическа енергия, които производителят ползва за собствени нужди и собствено потребление при комбинирано производство на електрическа и топлинна енергия. В настоящия ценови модел те са определени в изпълнение препоръките на Световната банка, а именно прогнозните количества електрическа енергия за продажба от производители по комбиниран начин с преобладаващ топлинен товар за стопански нужди са коригирани с количествата, които по данни на „ЕСО“ ЕАД се </w:t>
      </w:r>
      <w:proofErr w:type="spellStart"/>
      <w:r w:rsidRPr="000123F5">
        <w:rPr>
          <w:rFonts w:ascii="Times New Roman" w:hAnsi="Times New Roman" w:cs="Times New Roman"/>
          <w:sz w:val="24"/>
          <w:szCs w:val="24"/>
        </w:rPr>
        <w:t>потребяват</w:t>
      </w:r>
      <w:proofErr w:type="spellEnd"/>
      <w:r w:rsidRPr="000123F5">
        <w:rPr>
          <w:rFonts w:ascii="Times New Roman" w:hAnsi="Times New Roman" w:cs="Times New Roman"/>
          <w:sz w:val="24"/>
          <w:szCs w:val="24"/>
        </w:rPr>
        <w:t xml:space="preserve"> от небитови клиенти, които не са на бюджетна издръжка, и които се снабдяват с топлинна енергия от съответния производител.</w:t>
      </w:r>
    </w:p>
    <w:p w:rsidR="0094212A" w:rsidRPr="00774FB1" w:rsidRDefault="0094212A" w:rsidP="000123F5">
      <w:pPr>
        <w:jc w:val="both"/>
        <w:rPr>
          <w:rFonts w:ascii="Times New Roman" w:hAnsi="Times New Roman" w:cs="Times New Roman"/>
          <w:sz w:val="24"/>
          <w:szCs w:val="24"/>
        </w:rPr>
      </w:pPr>
      <w:r>
        <w:rPr>
          <w:rFonts w:ascii="Times New Roman" w:hAnsi="Times New Roman" w:cs="Times New Roman"/>
          <w:sz w:val="24"/>
          <w:szCs w:val="24"/>
        </w:rPr>
        <w:t>С оглед ограничаване на тежестта на мрежовите тарифи в крайната цена на енергията, комисията е определила квота на „АЕЦ Козлодуй“ за електрическата енергия необходима за покриване на технологичните разходи по преноса и разпределението. По този начин преносното и електроразпределителните предприятия, купуват енергията необходима им за покриване на технологичния разход по регулираната цена на ядрената централа, а именно 30 лв./</w:t>
      </w:r>
      <w:proofErr w:type="spellStart"/>
      <w:r>
        <w:rPr>
          <w:rFonts w:ascii="Times New Roman" w:hAnsi="Times New Roman" w:cs="Times New Roman"/>
          <w:sz w:val="24"/>
          <w:szCs w:val="24"/>
        </w:rPr>
        <w:t>МВтч</w:t>
      </w:r>
      <w:proofErr w:type="spellEnd"/>
      <w:r>
        <w:rPr>
          <w:rFonts w:ascii="Times New Roman" w:hAnsi="Times New Roman" w:cs="Times New Roman"/>
          <w:sz w:val="24"/>
          <w:szCs w:val="24"/>
        </w:rPr>
        <w:t xml:space="preserve">. Това от своя страна </w:t>
      </w:r>
      <w:r w:rsidR="00A84BB9">
        <w:rPr>
          <w:rFonts w:ascii="Times New Roman" w:hAnsi="Times New Roman" w:cs="Times New Roman"/>
          <w:sz w:val="24"/>
          <w:szCs w:val="24"/>
        </w:rPr>
        <w:t>прави цената на електрическата енергия конкурентна, спрямо цените в съседните пазарни зони и облекчава износа към Турция и Гърция, за чиито пазари българските производители се конкурират с производителите търгуващи на румънската борса</w:t>
      </w:r>
      <w:r w:rsidR="00A84BB9">
        <w:rPr>
          <w:rFonts w:ascii="Times New Roman" w:hAnsi="Times New Roman" w:cs="Times New Roman"/>
          <w:sz w:val="24"/>
          <w:szCs w:val="24"/>
          <w:lang w:val="en-US"/>
        </w:rPr>
        <w:t xml:space="preserve"> OPCOM</w:t>
      </w:r>
      <w:r w:rsidR="00A84BB9">
        <w:rPr>
          <w:rFonts w:ascii="Times New Roman" w:hAnsi="Times New Roman" w:cs="Times New Roman"/>
          <w:sz w:val="24"/>
          <w:szCs w:val="24"/>
        </w:rPr>
        <w:t xml:space="preserve"> и унгарската </w:t>
      </w:r>
      <w:r w:rsidR="00A84BB9">
        <w:rPr>
          <w:rFonts w:ascii="Times New Roman" w:hAnsi="Times New Roman" w:cs="Times New Roman"/>
          <w:sz w:val="24"/>
          <w:szCs w:val="24"/>
          <w:lang w:val="en-US"/>
        </w:rPr>
        <w:t>HUPX.</w:t>
      </w:r>
      <w:r w:rsidR="00774FB1">
        <w:rPr>
          <w:rFonts w:ascii="Times New Roman" w:hAnsi="Times New Roman" w:cs="Times New Roman"/>
          <w:sz w:val="24"/>
          <w:szCs w:val="24"/>
        </w:rPr>
        <w:t xml:space="preserve"> От друга страна реалната цена за закупуване на технологичните разходи е по-висока и би трябвало да е средната цена на обществения доставчик. </w:t>
      </w:r>
    </w:p>
    <w:p w:rsidR="000123F5" w:rsidRPr="000123F5" w:rsidRDefault="002A0C6B" w:rsidP="000123F5">
      <w:pPr>
        <w:jc w:val="both"/>
        <w:rPr>
          <w:rFonts w:ascii="Times New Roman" w:hAnsi="Times New Roman" w:cs="Times New Roman"/>
          <w:sz w:val="24"/>
          <w:szCs w:val="24"/>
        </w:rPr>
      </w:pPr>
      <w:r>
        <w:rPr>
          <w:rFonts w:ascii="Times New Roman" w:hAnsi="Times New Roman" w:cs="Times New Roman"/>
          <w:sz w:val="24"/>
          <w:szCs w:val="24"/>
        </w:rPr>
        <w:t>Относно регулациите на пазара по свободно договорени цени, с</w:t>
      </w:r>
      <w:r w:rsidR="000123F5" w:rsidRPr="000123F5">
        <w:rPr>
          <w:rFonts w:ascii="Times New Roman" w:hAnsi="Times New Roman" w:cs="Times New Roman"/>
          <w:sz w:val="24"/>
          <w:szCs w:val="24"/>
        </w:rPr>
        <w:t>ъгласно чл.37 от директива 72/2009/ЕО, на енергийните регулатори следва да бъдат предоставени и правомощия да вземат решения, независимо от прилагането на правилата за конкуренцията, относно въвеждането на подходящи мерки за гарантиране на ползи за клиентите чрез насърчаване на ефективната конкуренция, необходима за правилното функциониране на вътрешния пазар на електроенергия. Директ</w:t>
      </w:r>
      <w:r>
        <w:rPr>
          <w:rFonts w:ascii="Times New Roman" w:hAnsi="Times New Roman" w:cs="Times New Roman"/>
          <w:sz w:val="24"/>
          <w:szCs w:val="24"/>
        </w:rPr>
        <w:t xml:space="preserve">ивата </w:t>
      </w:r>
      <w:r w:rsidR="000123F5" w:rsidRPr="000123F5">
        <w:rPr>
          <w:rFonts w:ascii="Times New Roman" w:hAnsi="Times New Roman" w:cs="Times New Roman"/>
          <w:sz w:val="24"/>
          <w:szCs w:val="24"/>
        </w:rPr>
        <w:t xml:space="preserve">поставя акцент върху развитието на условията за конкуренция с цел създаването на конкурентен вътрешен европейски пазар на електроенергия. В чл. 37 ал. 1, б. „й“ националният регулаторен орган е задължен да наблюдава степента и ефективността на отваряне на пазара и конкуренцията в секторите на едро и на дребно, включително на борсите за електроенергия, да следи цените на електроенергията за битовите клиенти, </w:t>
      </w:r>
      <w:r w:rsidR="000123F5" w:rsidRPr="000123F5">
        <w:rPr>
          <w:rFonts w:ascii="Times New Roman" w:hAnsi="Times New Roman" w:cs="Times New Roman"/>
          <w:sz w:val="24"/>
          <w:szCs w:val="24"/>
        </w:rPr>
        <w:lastRenderedPageBreak/>
        <w:t>включително системите за авансови плащания, процента на смяна на доставчика, процента на изключване от мрежата, таксите за услугите по поддръжка и изпълнението на тези услуги и жалбите на битовите клиенти, както и да следи за всяко нарушаване или ограничаване на конкуренцията, включително да предоставя нужната информация и да отнася съответните случаи до органите по конкуренция.</w:t>
      </w:r>
    </w:p>
    <w:p w:rsidR="000123F5" w:rsidRPr="000123F5" w:rsidRDefault="000123F5" w:rsidP="000123F5">
      <w:pPr>
        <w:jc w:val="both"/>
        <w:rPr>
          <w:rFonts w:ascii="Times New Roman" w:hAnsi="Times New Roman" w:cs="Times New Roman"/>
          <w:sz w:val="24"/>
          <w:szCs w:val="24"/>
        </w:rPr>
      </w:pPr>
      <w:r w:rsidRPr="000123F5">
        <w:rPr>
          <w:rFonts w:ascii="Times New Roman" w:hAnsi="Times New Roman" w:cs="Times New Roman"/>
          <w:sz w:val="24"/>
          <w:szCs w:val="24"/>
        </w:rPr>
        <w:t xml:space="preserve">Според препоръките на Европейската комисия (ЕК), за да се привличат независими производители и търговци, трябва да се увеличат усилията за създаването на добре функциониращ балансиращ пазар, включително създаването на организирана независима </w:t>
      </w:r>
      <w:proofErr w:type="spellStart"/>
      <w:r w:rsidRPr="000123F5">
        <w:rPr>
          <w:rFonts w:ascii="Times New Roman" w:hAnsi="Times New Roman" w:cs="Times New Roman"/>
          <w:sz w:val="24"/>
          <w:szCs w:val="24"/>
        </w:rPr>
        <w:t>eлектроенергийна</w:t>
      </w:r>
      <w:proofErr w:type="spellEnd"/>
      <w:r w:rsidRPr="000123F5">
        <w:rPr>
          <w:rFonts w:ascii="Times New Roman" w:hAnsi="Times New Roman" w:cs="Times New Roman"/>
          <w:sz w:val="24"/>
          <w:szCs w:val="24"/>
        </w:rPr>
        <w:t xml:space="preserve"> борса и пазар ден напред. </w:t>
      </w:r>
    </w:p>
    <w:p w:rsidR="009D35CA" w:rsidRPr="009D35CA" w:rsidRDefault="000123F5" w:rsidP="009D35CA">
      <w:pPr>
        <w:jc w:val="both"/>
        <w:rPr>
          <w:rFonts w:ascii="Times New Roman" w:hAnsi="Times New Roman" w:cs="Times New Roman"/>
          <w:sz w:val="24"/>
          <w:szCs w:val="24"/>
        </w:rPr>
      </w:pPr>
      <w:r w:rsidRPr="000123F5">
        <w:rPr>
          <w:rFonts w:ascii="Times New Roman" w:hAnsi="Times New Roman" w:cs="Times New Roman"/>
          <w:sz w:val="24"/>
          <w:szCs w:val="24"/>
        </w:rPr>
        <w:t>ДКЕВР, в рамките на своите компетенции, предприе редица стъпки, за разработване на прозрачни правила за организиране на пазар на балансираща енергия и принципи за балансиране на търговските участници. В тази връзка следва да се отбележи, че от 01.06.2014 г. стартира балансиращия</w:t>
      </w:r>
      <w:r w:rsidR="00774FB1">
        <w:rPr>
          <w:rFonts w:ascii="Times New Roman" w:hAnsi="Times New Roman" w:cs="Times New Roman"/>
          <w:sz w:val="24"/>
          <w:szCs w:val="24"/>
        </w:rPr>
        <w:t>т</w:t>
      </w:r>
      <w:r w:rsidRPr="000123F5">
        <w:rPr>
          <w:rFonts w:ascii="Times New Roman" w:hAnsi="Times New Roman" w:cs="Times New Roman"/>
          <w:sz w:val="24"/>
          <w:szCs w:val="24"/>
        </w:rPr>
        <w:t xml:space="preserve"> пазар</w:t>
      </w:r>
      <w:r w:rsidR="00774FB1">
        <w:rPr>
          <w:rFonts w:ascii="Times New Roman" w:hAnsi="Times New Roman" w:cs="Times New Roman"/>
          <w:sz w:val="24"/>
          <w:szCs w:val="24"/>
        </w:rPr>
        <w:t>,</w:t>
      </w:r>
      <w:r w:rsidRPr="000123F5">
        <w:rPr>
          <w:rFonts w:ascii="Times New Roman" w:hAnsi="Times New Roman" w:cs="Times New Roman"/>
          <w:sz w:val="24"/>
          <w:szCs w:val="24"/>
        </w:rPr>
        <w:t xml:space="preserve"> иниц</w:t>
      </w:r>
      <w:r w:rsidR="00DD276A">
        <w:rPr>
          <w:rFonts w:ascii="Times New Roman" w:hAnsi="Times New Roman" w:cs="Times New Roman"/>
          <w:sz w:val="24"/>
          <w:szCs w:val="24"/>
        </w:rPr>
        <w:t>ииран с решение на ДКЕВР от м. ф</w:t>
      </w:r>
      <w:r w:rsidRPr="000123F5">
        <w:rPr>
          <w:rFonts w:ascii="Times New Roman" w:hAnsi="Times New Roman" w:cs="Times New Roman"/>
          <w:sz w:val="24"/>
          <w:szCs w:val="24"/>
        </w:rPr>
        <w:t>евруари.</w:t>
      </w:r>
      <w:r w:rsidR="009D35CA" w:rsidRPr="009D35CA">
        <w:t xml:space="preserve"> </w:t>
      </w:r>
      <w:r w:rsidR="009D35CA" w:rsidRPr="009D35CA">
        <w:rPr>
          <w:rFonts w:ascii="Times New Roman" w:hAnsi="Times New Roman" w:cs="Times New Roman"/>
          <w:sz w:val="24"/>
          <w:szCs w:val="24"/>
        </w:rPr>
        <w:t>Балансиращия</w:t>
      </w:r>
      <w:r w:rsidR="00774FB1">
        <w:rPr>
          <w:rFonts w:ascii="Times New Roman" w:hAnsi="Times New Roman" w:cs="Times New Roman"/>
          <w:sz w:val="24"/>
          <w:szCs w:val="24"/>
        </w:rPr>
        <w:t>т пазар</w:t>
      </w:r>
      <w:r w:rsidR="009D35CA" w:rsidRPr="009D35CA">
        <w:rPr>
          <w:rFonts w:ascii="Times New Roman" w:hAnsi="Times New Roman" w:cs="Times New Roman"/>
          <w:sz w:val="24"/>
          <w:szCs w:val="24"/>
        </w:rPr>
        <w:t xml:space="preserve"> обхваща всички търговски участници по веригата производство, пренос, разпределение и крайни клиенти</w:t>
      </w:r>
      <w:r w:rsidR="007A478C">
        <w:rPr>
          <w:rFonts w:ascii="Times New Roman" w:hAnsi="Times New Roman" w:cs="Times New Roman"/>
          <w:sz w:val="24"/>
          <w:szCs w:val="24"/>
        </w:rPr>
        <w:t xml:space="preserve"> и</w:t>
      </w:r>
      <w:r w:rsidR="009D35CA" w:rsidRPr="009D35CA">
        <w:rPr>
          <w:rFonts w:ascii="Times New Roman" w:hAnsi="Times New Roman" w:cs="Times New Roman"/>
          <w:sz w:val="24"/>
          <w:szCs w:val="24"/>
        </w:rPr>
        <w:t xml:space="preserve"> е основната и най-важна стъпка за последяващо организиране и функциониране на борсовия пазар на електрическа енергия, както и важно условие за изпълнение на ангажиментите на страната ни за пълна либерализация на търговията с електрическа енергия. </w:t>
      </w:r>
      <w:r w:rsidR="009D35CA">
        <w:rPr>
          <w:rFonts w:ascii="Times New Roman" w:hAnsi="Times New Roman" w:cs="Times New Roman"/>
          <w:sz w:val="24"/>
          <w:szCs w:val="24"/>
        </w:rPr>
        <w:t>В тази връзка е и</w:t>
      </w:r>
      <w:r w:rsidR="009D35CA" w:rsidRPr="000123F5">
        <w:rPr>
          <w:rFonts w:ascii="Times New Roman" w:hAnsi="Times New Roman" w:cs="Times New Roman"/>
          <w:sz w:val="24"/>
          <w:szCs w:val="24"/>
        </w:rPr>
        <w:t>здадена лицензия на „Българска независима енергийна борса” ЕАД за дейността “организиране на борсов пазар на електрическа енергия”.</w:t>
      </w:r>
    </w:p>
    <w:p w:rsidR="009D35CA" w:rsidRPr="009D35CA" w:rsidRDefault="009D35CA" w:rsidP="009D35CA">
      <w:pPr>
        <w:jc w:val="both"/>
        <w:rPr>
          <w:rFonts w:ascii="Times New Roman" w:hAnsi="Times New Roman" w:cs="Times New Roman"/>
          <w:sz w:val="24"/>
          <w:szCs w:val="24"/>
        </w:rPr>
      </w:pPr>
      <w:r w:rsidRPr="009D35CA">
        <w:rPr>
          <w:rFonts w:ascii="Times New Roman" w:hAnsi="Times New Roman" w:cs="Times New Roman"/>
          <w:sz w:val="24"/>
          <w:szCs w:val="24"/>
        </w:rPr>
        <w:t>След стар</w:t>
      </w:r>
      <w:r w:rsidR="007A478C">
        <w:rPr>
          <w:rFonts w:ascii="Times New Roman" w:hAnsi="Times New Roman" w:cs="Times New Roman"/>
          <w:sz w:val="24"/>
          <w:szCs w:val="24"/>
        </w:rPr>
        <w:t>тирането на балансиращия пазар</w:t>
      </w:r>
      <w:r w:rsidRPr="009D35CA">
        <w:rPr>
          <w:rFonts w:ascii="Times New Roman" w:hAnsi="Times New Roman" w:cs="Times New Roman"/>
          <w:sz w:val="24"/>
          <w:szCs w:val="24"/>
        </w:rPr>
        <w:t xml:space="preserve"> в </w:t>
      </w:r>
      <w:r>
        <w:rPr>
          <w:rFonts w:ascii="Times New Roman" w:hAnsi="Times New Roman" w:cs="Times New Roman"/>
          <w:sz w:val="24"/>
          <w:szCs w:val="24"/>
        </w:rPr>
        <w:t>Комисията са</w:t>
      </w:r>
      <w:r w:rsidRPr="009D35CA">
        <w:rPr>
          <w:rFonts w:ascii="Times New Roman" w:hAnsi="Times New Roman" w:cs="Times New Roman"/>
          <w:sz w:val="24"/>
          <w:szCs w:val="24"/>
        </w:rPr>
        <w:t xml:space="preserve"> получени</w:t>
      </w:r>
      <w:r>
        <w:rPr>
          <w:rFonts w:ascii="Times New Roman" w:hAnsi="Times New Roman" w:cs="Times New Roman"/>
          <w:sz w:val="24"/>
          <w:szCs w:val="24"/>
        </w:rPr>
        <w:t xml:space="preserve"> над 100</w:t>
      </w:r>
      <w:r w:rsidRPr="009D35CA">
        <w:rPr>
          <w:rFonts w:ascii="Times New Roman" w:hAnsi="Times New Roman" w:cs="Times New Roman"/>
          <w:sz w:val="24"/>
          <w:szCs w:val="24"/>
        </w:rPr>
        <w:t xml:space="preserve"> жалби свързани с работата </w:t>
      </w:r>
      <w:r w:rsidR="007A478C">
        <w:rPr>
          <w:rFonts w:ascii="Times New Roman" w:hAnsi="Times New Roman" w:cs="Times New Roman"/>
          <w:sz w:val="24"/>
          <w:szCs w:val="24"/>
        </w:rPr>
        <w:t>му. От страна на ДКЕВР</w:t>
      </w:r>
      <w:r w:rsidRPr="009D35CA">
        <w:rPr>
          <w:rFonts w:ascii="Times New Roman" w:hAnsi="Times New Roman" w:cs="Times New Roman"/>
          <w:sz w:val="24"/>
          <w:szCs w:val="24"/>
        </w:rPr>
        <w:t xml:space="preserve"> е направена проверка и преглед</w:t>
      </w:r>
      <w:r w:rsidR="007A478C">
        <w:rPr>
          <w:rFonts w:ascii="Times New Roman" w:hAnsi="Times New Roman" w:cs="Times New Roman"/>
          <w:sz w:val="24"/>
          <w:szCs w:val="24"/>
        </w:rPr>
        <w:t xml:space="preserve"> на</w:t>
      </w:r>
      <w:r w:rsidRPr="009D35CA">
        <w:rPr>
          <w:rFonts w:ascii="Times New Roman" w:hAnsi="Times New Roman" w:cs="Times New Roman"/>
          <w:sz w:val="24"/>
          <w:szCs w:val="24"/>
        </w:rPr>
        <w:t xml:space="preserve"> данните от </w:t>
      </w:r>
      <w:r w:rsidR="007A478C">
        <w:rPr>
          <w:rFonts w:ascii="Times New Roman" w:hAnsi="Times New Roman" w:cs="Times New Roman"/>
          <w:sz w:val="24"/>
          <w:szCs w:val="24"/>
        </w:rPr>
        <w:t>оператора на</w:t>
      </w:r>
      <w:r w:rsidRPr="009D35CA">
        <w:rPr>
          <w:rFonts w:ascii="Times New Roman" w:hAnsi="Times New Roman" w:cs="Times New Roman"/>
          <w:sz w:val="24"/>
          <w:szCs w:val="24"/>
        </w:rPr>
        <w:t xml:space="preserve"> пазар</w:t>
      </w:r>
      <w:r w:rsidR="007A478C">
        <w:rPr>
          <w:rFonts w:ascii="Times New Roman" w:hAnsi="Times New Roman" w:cs="Times New Roman"/>
          <w:sz w:val="24"/>
          <w:szCs w:val="24"/>
        </w:rPr>
        <w:t>а</w:t>
      </w:r>
      <w:r w:rsidRPr="009D35CA">
        <w:rPr>
          <w:rFonts w:ascii="Times New Roman" w:hAnsi="Times New Roman" w:cs="Times New Roman"/>
          <w:sz w:val="24"/>
          <w:szCs w:val="24"/>
        </w:rPr>
        <w:t xml:space="preserve"> </w:t>
      </w:r>
      <w:r w:rsidR="007A478C">
        <w:rPr>
          <w:rFonts w:ascii="Times New Roman" w:hAnsi="Times New Roman" w:cs="Times New Roman"/>
          <w:sz w:val="24"/>
          <w:szCs w:val="24"/>
        </w:rPr>
        <w:t>относно</w:t>
      </w:r>
      <w:r w:rsidRPr="009D35CA">
        <w:rPr>
          <w:rFonts w:ascii="Times New Roman" w:hAnsi="Times New Roman" w:cs="Times New Roman"/>
          <w:sz w:val="24"/>
          <w:szCs w:val="24"/>
        </w:rPr>
        <w:t xml:space="preserve"> получените екстремни стойности на цената на балансиращата енергия за недостиг и отрицателни стойности за излишък. </w:t>
      </w:r>
      <w:r w:rsidR="007A478C">
        <w:rPr>
          <w:rFonts w:ascii="Times New Roman" w:hAnsi="Times New Roman" w:cs="Times New Roman"/>
          <w:sz w:val="24"/>
          <w:szCs w:val="24"/>
        </w:rPr>
        <w:t>С</w:t>
      </w:r>
      <w:r w:rsidRPr="009D35CA">
        <w:rPr>
          <w:rFonts w:ascii="Times New Roman" w:hAnsi="Times New Roman" w:cs="Times New Roman"/>
          <w:sz w:val="24"/>
          <w:szCs w:val="24"/>
        </w:rPr>
        <w:t xml:space="preserve"> Решение № Ц-26 от 19.12.2014 г. ДКЕВР определи пределна цена за сключване на сделки на пазара на балансираща енергия считано от 01.</w:t>
      </w:r>
      <w:proofErr w:type="spellStart"/>
      <w:r w:rsidRPr="009D35CA">
        <w:rPr>
          <w:rFonts w:ascii="Times New Roman" w:hAnsi="Times New Roman" w:cs="Times New Roman"/>
          <w:sz w:val="24"/>
          <w:szCs w:val="24"/>
        </w:rPr>
        <w:t>01</w:t>
      </w:r>
      <w:proofErr w:type="spellEnd"/>
      <w:r w:rsidRPr="009D35CA">
        <w:rPr>
          <w:rFonts w:ascii="Times New Roman" w:hAnsi="Times New Roman" w:cs="Times New Roman"/>
          <w:sz w:val="24"/>
          <w:szCs w:val="24"/>
        </w:rPr>
        <w:t>.2015 г., както следва:</w:t>
      </w:r>
    </w:p>
    <w:p w:rsidR="009D35CA" w:rsidRPr="009D35CA" w:rsidRDefault="00193B2F" w:rsidP="009D35CA">
      <w:pPr>
        <w:jc w:val="both"/>
        <w:rPr>
          <w:rFonts w:ascii="Times New Roman" w:hAnsi="Times New Roman" w:cs="Times New Roman"/>
          <w:sz w:val="24"/>
          <w:szCs w:val="24"/>
        </w:rPr>
      </w:pPr>
      <w:r>
        <w:rPr>
          <w:rFonts w:ascii="Times New Roman" w:hAnsi="Times New Roman" w:cs="Times New Roman"/>
          <w:sz w:val="24"/>
          <w:szCs w:val="24"/>
        </w:rPr>
        <w:t>1</w:t>
      </w:r>
      <w:r w:rsidR="009D35CA" w:rsidRPr="009D35CA">
        <w:rPr>
          <w:rFonts w:ascii="Times New Roman" w:hAnsi="Times New Roman" w:cs="Times New Roman"/>
          <w:sz w:val="24"/>
          <w:szCs w:val="24"/>
        </w:rPr>
        <w:t>. Пределна цена за сключване на сделки на пазара на балансираща енергия за регулиране „нагоре“ (т.е. при недостиг на енергия) в размер на 202,00 лв./</w:t>
      </w:r>
      <w:proofErr w:type="spellStart"/>
      <w:r w:rsidR="009D35CA" w:rsidRPr="009D35CA">
        <w:rPr>
          <w:rFonts w:ascii="Times New Roman" w:hAnsi="Times New Roman" w:cs="Times New Roman"/>
          <w:sz w:val="24"/>
          <w:szCs w:val="24"/>
        </w:rPr>
        <w:t>МВтч</w:t>
      </w:r>
      <w:proofErr w:type="spellEnd"/>
      <w:r w:rsidR="009D35CA" w:rsidRPr="009D35CA">
        <w:rPr>
          <w:rFonts w:ascii="Times New Roman" w:hAnsi="Times New Roman" w:cs="Times New Roman"/>
          <w:sz w:val="24"/>
          <w:szCs w:val="24"/>
        </w:rPr>
        <w:t xml:space="preserve">. </w:t>
      </w:r>
    </w:p>
    <w:p w:rsidR="000123F5" w:rsidRPr="000123F5" w:rsidRDefault="00193B2F" w:rsidP="009D35CA">
      <w:pPr>
        <w:jc w:val="both"/>
        <w:rPr>
          <w:rFonts w:ascii="Times New Roman" w:hAnsi="Times New Roman" w:cs="Times New Roman"/>
          <w:sz w:val="24"/>
          <w:szCs w:val="24"/>
        </w:rPr>
      </w:pPr>
      <w:r>
        <w:rPr>
          <w:rFonts w:ascii="Times New Roman" w:hAnsi="Times New Roman" w:cs="Times New Roman"/>
          <w:sz w:val="24"/>
          <w:szCs w:val="24"/>
        </w:rPr>
        <w:t>2</w:t>
      </w:r>
      <w:r w:rsidR="009D35CA" w:rsidRPr="009D35CA">
        <w:rPr>
          <w:rFonts w:ascii="Times New Roman" w:hAnsi="Times New Roman" w:cs="Times New Roman"/>
          <w:sz w:val="24"/>
          <w:szCs w:val="24"/>
        </w:rPr>
        <w:t>. Пределна цена за сключване на сделки на пазара на балансираща енергия за предоставяне на системна услуга регулиране „надолу“ (т.е. при излишък на енергия) в размер на 0,00 (нула) лв./</w:t>
      </w:r>
      <w:proofErr w:type="spellStart"/>
      <w:r w:rsidR="009D35CA" w:rsidRPr="009D35CA">
        <w:rPr>
          <w:rFonts w:ascii="Times New Roman" w:hAnsi="Times New Roman" w:cs="Times New Roman"/>
          <w:sz w:val="24"/>
          <w:szCs w:val="24"/>
        </w:rPr>
        <w:t>МВтч</w:t>
      </w:r>
      <w:proofErr w:type="spellEnd"/>
      <w:r w:rsidR="000123F5" w:rsidRPr="000123F5">
        <w:rPr>
          <w:rFonts w:ascii="Times New Roman" w:hAnsi="Times New Roman" w:cs="Times New Roman"/>
          <w:sz w:val="24"/>
          <w:szCs w:val="24"/>
        </w:rPr>
        <w:t xml:space="preserve"> </w:t>
      </w:r>
    </w:p>
    <w:p w:rsidR="000123F5" w:rsidRDefault="000123F5" w:rsidP="000123F5">
      <w:pPr>
        <w:jc w:val="both"/>
        <w:rPr>
          <w:rFonts w:ascii="Times New Roman" w:hAnsi="Times New Roman" w:cs="Times New Roman"/>
          <w:sz w:val="24"/>
          <w:szCs w:val="24"/>
        </w:rPr>
      </w:pPr>
      <w:r w:rsidRPr="000123F5">
        <w:rPr>
          <w:rFonts w:ascii="Times New Roman" w:hAnsi="Times New Roman" w:cs="Times New Roman"/>
          <w:sz w:val="24"/>
          <w:szCs w:val="24"/>
        </w:rPr>
        <w:t xml:space="preserve">Чрез направените промени в Правилата за търговия с електрическа енергия (ПТЕЕ) са създадени всички предпоставки за работещ балансиращ пазар, </w:t>
      </w:r>
      <w:proofErr w:type="spellStart"/>
      <w:r w:rsidRPr="000123F5">
        <w:rPr>
          <w:rFonts w:ascii="Times New Roman" w:hAnsi="Times New Roman" w:cs="Times New Roman"/>
          <w:sz w:val="24"/>
          <w:szCs w:val="24"/>
        </w:rPr>
        <w:t>пазар</w:t>
      </w:r>
      <w:proofErr w:type="spellEnd"/>
      <w:r w:rsidRPr="000123F5">
        <w:rPr>
          <w:rFonts w:ascii="Times New Roman" w:hAnsi="Times New Roman" w:cs="Times New Roman"/>
          <w:sz w:val="24"/>
          <w:szCs w:val="24"/>
        </w:rPr>
        <w:t xml:space="preserve"> ден напред и борсова търговия. Практически функционират и т. нар. „координатори на стандартни балансиращи групи”, които предоставят на членовете на оперираната от тях балансираща група услугата по поемане на отговорността за балансирането им.</w:t>
      </w:r>
    </w:p>
    <w:p w:rsidR="00F47AC8" w:rsidRPr="00F47AC8" w:rsidRDefault="00F47AC8" w:rsidP="00F47AC8">
      <w:pPr>
        <w:jc w:val="both"/>
        <w:rPr>
          <w:rFonts w:ascii="Times New Roman" w:hAnsi="Times New Roman" w:cs="Times New Roman"/>
          <w:sz w:val="24"/>
          <w:szCs w:val="24"/>
        </w:rPr>
      </w:pPr>
      <w:r w:rsidRPr="00F47AC8">
        <w:rPr>
          <w:rFonts w:ascii="Times New Roman" w:hAnsi="Times New Roman" w:cs="Times New Roman"/>
          <w:sz w:val="24"/>
          <w:szCs w:val="24"/>
        </w:rPr>
        <w:t xml:space="preserve">Тръжните правила относно условията за достъп до мрежата за трансграничен обмен на електроенергия за регионално сътрудничество между операторите, чрез въвеждане на общи правила и процедури за разделяне и предоставяне на разполагаема преносна способност (капацитет) в двете посоки по </w:t>
      </w:r>
      <w:proofErr w:type="spellStart"/>
      <w:r w:rsidRPr="00F47AC8">
        <w:rPr>
          <w:rFonts w:ascii="Times New Roman" w:hAnsi="Times New Roman" w:cs="Times New Roman"/>
          <w:sz w:val="24"/>
          <w:szCs w:val="24"/>
        </w:rPr>
        <w:t>междусистемните</w:t>
      </w:r>
      <w:proofErr w:type="spellEnd"/>
      <w:r w:rsidRPr="00F47AC8">
        <w:rPr>
          <w:rFonts w:ascii="Times New Roman" w:hAnsi="Times New Roman" w:cs="Times New Roman"/>
          <w:sz w:val="24"/>
          <w:szCs w:val="24"/>
        </w:rPr>
        <w:t xml:space="preserve"> сечения на електроенергийната система на България и съседните електроенергийни системи, са разработени във връзка с изискванията на Регламент (ЕО) № 714/2009 на Европейския парламент и на Съвета от 13 юли 2009 година. Целта на тези правила е да се осигури </w:t>
      </w:r>
      <w:r w:rsidRPr="00F47AC8">
        <w:rPr>
          <w:rFonts w:ascii="Times New Roman" w:hAnsi="Times New Roman" w:cs="Times New Roman"/>
          <w:sz w:val="24"/>
          <w:szCs w:val="24"/>
        </w:rPr>
        <w:lastRenderedPageBreak/>
        <w:t>оптимално управление на мрежите, насърчаване развитието на енергийния обмен и координираното разпределение на трансграничния капацитет, чрез недискриминационни пазарно обусловени решения.</w:t>
      </w:r>
    </w:p>
    <w:p w:rsidR="00F47AC8" w:rsidRPr="00F47AC8" w:rsidRDefault="00F47AC8" w:rsidP="00F47AC8">
      <w:pPr>
        <w:jc w:val="both"/>
        <w:rPr>
          <w:rFonts w:ascii="Times New Roman" w:hAnsi="Times New Roman" w:cs="Times New Roman"/>
          <w:sz w:val="24"/>
          <w:szCs w:val="24"/>
        </w:rPr>
      </w:pPr>
      <w:r w:rsidRPr="00F47AC8">
        <w:rPr>
          <w:rFonts w:ascii="Times New Roman" w:hAnsi="Times New Roman" w:cs="Times New Roman"/>
          <w:sz w:val="24"/>
          <w:szCs w:val="24"/>
        </w:rPr>
        <w:t xml:space="preserve">„Електроенергиен системен оператор“ ЕАД, е операторът на </w:t>
      </w:r>
      <w:proofErr w:type="spellStart"/>
      <w:r w:rsidRPr="00F47AC8">
        <w:rPr>
          <w:rFonts w:ascii="Times New Roman" w:hAnsi="Times New Roman" w:cs="Times New Roman"/>
          <w:sz w:val="24"/>
          <w:szCs w:val="24"/>
        </w:rPr>
        <w:t>електропреносната</w:t>
      </w:r>
      <w:proofErr w:type="spellEnd"/>
      <w:r w:rsidRPr="00F47AC8">
        <w:rPr>
          <w:rFonts w:ascii="Times New Roman" w:hAnsi="Times New Roman" w:cs="Times New Roman"/>
          <w:sz w:val="24"/>
          <w:szCs w:val="24"/>
        </w:rPr>
        <w:t xml:space="preserve"> мрежа на територията на Република България, който на основание чл. 109, ал. 1, т. 3 от Законът за енергетиката, е длъжен да осигурява съвместната работа на електроенергийната система с електроенергийните системи на другите страни, в съответствие с международните договори. Регламент (ЕО) № 714/2009 вменява в задължение на националните регулаторни органи да осигуряват съответствие с посочения регламент и насоките, приети в съответствие с чл. 18 от него, за установяване на регионално сътрудничество между операторите на преносни системи (чл. 12 и чл. 13 от Регламента).</w:t>
      </w:r>
    </w:p>
    <w:p w:rsidR="00F47AC8" w:rsidRPr="00F47AC8" w:rsidRDefault="00F47AC8" w:rsidP="00F47AC8">
      <w:pPr>
        <w:jc w:val="both"/>
        <w:rPr>
          <w:rFonts w:ascii="Times New Roman" w:hAnsi="Times New Roman" w:cs="Times New Roman"/>
          <w:sz w:val="24"/>
          <w:szCs w:val="24"/>
        </w:rPr>
      </w:pPr>
      <w:r w:rsidRPr="00F47AC8">
        <w:rPr>
          <w:rFonts w:ascii="Times New Roman" w:hAnsi="Times New Roman" w:cs="Times New Roman"/>
          <w:sz w:val="24"/>
          <w:szCs w:val="24"/>
        </w:rPr>
        <w:t xml:space="preserve">В тръжните правила подробно са регламентирани изискванията за регистрация и участие, отделните видове търгове, организацията и провеждането на тръжните процедури, определяне на тръжните резултати и предоставяне на права за преносна способност (ПС) и правила за използването им, вторичния пазар на ПС и прехвърлянето им, изисквания и срокове за </w:t>
      </w:r>
      <w:proofErr w:type="spellStart"/>
      <w:r w:rsidRPr="00F47AC8">
        <w:rPr>
          <w:rFonts w:ascii="Times New Roman" w:hAnsi="Times New Roman" w:cs="Times New Roman"/>
          <w:sz w:val="24"/>
          <w:szCs w:val="24"/>
        </w:rPr>
        <w:t>сетълмент</w:t>
      </w:r>
      <w:proofErr w:type="spellEnd"/>
      <w:r w:rsidRPr="00F47AC8">
        <w:rPr>
          <w:rFonts w:ascii="Times New Roman" w:hAnsi="Times New Roman" w:cs="Times New Roman"/>
          <w:sz w:val="24"/>
          <w:szCs w:val="24"/>
        </w:rPr>
        <w:t xml:space="preserve"> и плащане, принципи за намаляване на предлаганите преносни способности и др. </w:t>
      </w:r>
    </w:p>
    <w:p w:rsidR="00F47AC8" w:rsidRPr="004E18C1" w:rsidRDefault="00F47AC8" w:rsidP="00F47AC8">
      <w:pPr>
        <w:jc w:val="both"/>
        <w:rPr>
          <w:rFonts w:ascii="Times New Roman" w:hAnsi="Times New Roman" w:cs="Times New Roman"/>
          <w:sz w:val="24"/>
          <w:szCs w:val="24"/>
        </w:rPr>
      </w:pPr>
      <w:r w:rsidRPr="00F47AC8">
        <w:rPr>
          <w:rFonts w:ascii="Times New Roman" w:hAnsi="Times New Roman" w:cs="Times New Roman"/>
          <w:sz w:val="24"/>
          <w:szCs w:val="24"/>
        </w:rPr>
        <w:t xml:space="preserve">България има пет съседни контролни зони (Турция, Гърция, Македония, Сърбия и Румъния), за които се провеждат годишни, месечни и дневни търгове за разпределение на трансгранична преносна способност. Държавната комисия за енергийно и водно регулиране, в качеството си на национален регулаторен орган и съгласно изискванията на чл. 19 от Регламент (ЕО) № 714/2009 г. ежегодно съгласува тръжни правила за разделяне и предоставяне на преносна способност по </w:t>
      </w:r>
      <w:proofErr w:type="spellStart"/>
      <w:r w:rsidRPr="00F47AC8">
        <w:rPr>
          <w:rFonts w:ascii="Times New Roman" w:hAnsi="Times New Roman" w:cs="Times New Roman"/>
          <w:sz w:val="24"/>
          <w:szCs w:val="24"/>
        </w:rPr>
        <w:t>междусистемните</w:t>
      </w:r>
      <w:proofErr w:type="spellEnd"/>
      <w:r w:rsidRPr="00F47AC8">
        <w:rPr>
          <w:rFonts w:ascii="Times New Roman" w:hAnsi="Times New Roman" w:cs="Times New Roman"/>
          <w:sz w:val="24"/>
          <w:szCs w:val="24"/>
        </w:rPr>
        <w:t xml:space="preserve"> сечения между контролната зона на „Електроенергиен системен оператор“ ЕАД и съседните контролни зони.</w:t>
      </w:r>
    </w:p>
    <w:sectPr w:rsidR="00F47AC8" w:rsidRPr="004E18C1" w:rsidSect="00F47AC8">
      <w:footerReference w:type="default" r:id="rId9"/>
      <w:pgSz w:w="11906" w:h="16838"/>
      <w:pgMar w:top="709" w:right="1417" w:bottom="567"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5C" w:rsidRDefault="0080145C" w:rsidP="00F47AC8">
      <w:pPr>
        <w:spacing w:after="0" w:line="240" w:lineRule="auto"/>
      </w:pPr>
      <w:r>
        <w:separator/>
      </w:r>
    </w:p>
  </w:endnote>
  <w:endnote w:type="continuationSeparator" w:id="0">
    <w:p w:rsidR="0080145C" w:rsidRDefault="0080145C" w:rsidP="00F4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00335"/>
      <w:docPartObj>
        <w:docPartGallery w:val="Page Numbers (Bottom of Page)"/>
        <w:docPartUnique/>
      </w:docPartObj>
    </w:sdtPr>
    <w:sdtEndPr>
      <w:rPr>
        <w:noProof/>
      </w:rPr>
    </w:sdtEndPr>
    <w:sdtContent>
      <w:p w:rsidR="00F47AC8" w:rsidRDefault="00F47AC8">
        <w:pPr>
          <w:pStyle w:val="Footer"/>
          <w:jc w:val="right"/>
        </w:pPr>
      </w:p>
      <w:p w:rsidR="00F47AC8" w:rsidRDefault="00F47AC8">
        <w:pPr>
          <w:pStyle w:val="Footer"/>
          <w:jc w:val="right"/>
        </w:pPr>
        <w:r>
          <w:fldChar w:fldCharType="begin"/>
        </w:r>
        <w:r>
          <w:instrText xml:space="preserve"> PAGE   \* MERGEFORMAT </w:instrText>
        </w:r>
        <w:r>
          <w:fldChar w:fldCharType="separate"/>
        </w:r>
        <w:r w:rsidR="00C91AC5">
          <w:rPr>
            <w:noProof/>
          </w:rPr>
          <w:t>1</w:t>
        </w:r>
        <w:r>
          <w:rPr>
            <w:noProof/>
          </w:rPr>
          <w:fldChar w:fldCharType="end"/>
        </w:r>
      </w:p>
    </w:sdtContent>
  </w:sdt>
  <w:p w:rsidR="00F47AC8" w:rsidRDefault="00F47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5C" w:rsidRDefault="0080145C" w:rsidP="00F47AC8">
      <w:pPr>
        <w:spacing w:after="0" w:line="240" w:lineRule="auto"/>
      </w:pPr>
      <w:r>
        <w:separator/>
      </w:r>
    </w:p>
  </w:footnote>
  <w:footnote w:type="continuationSeparator" w:id="0">
    <w:p w:rsidR="0080145C" w:rsidRDefault="0080145C" w:rsidP="00F47A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C1"/>
    <w:rsid w:val="000123F5"/>
    <w:rsid w:val="000869C1"/>
    <w:rsid w:val="000D278A"/>
    <w:rsid w:val="000E56BE"/>
    <w:rsid w:val="00193B2F"/>
    <w:rsid w:val="001E4D40"/>
    <w:rsid w:val="002A0C6B"/>
    <w:rsid w:val="003A7851"/>
    <w:rsid w:val="004E18C1"/>
    <w:rsid w:val="00644234"/>
    <w:rsid w:val="00774FB1"/>
    <w:rsid w:val="00795AE6"/>
    <w:rsid w:val="007A478C"/>
    <w:rsid w:val="0080057C"/>
    <w:rsid w:val="0080145C"/>
    <w:rsid w:val="0094212A"/>
    <w:rsid w:val="009D35CA"/>
    <w:rsid w:val="00A84BB9"/>
    <w:rsid w:val="00B4188D"/>
    <w:rsid w:val="00C91AC5"/>
    <w:rsid w:val="00D87662"/>
    <w:rsid w:val="00DD276A"/>
    <w:rsid w:val="00E2451B"/>
    <w:rsid w:val="00E82187"/>
    <w:rsid w:val="00F47AC8"/>
    <w:rsid w:val="00F7119F"/>
    <w:rsid w:val="00F809DE"/>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234"/>
    <w:rPr>
      <w:rFonts w:ascii="Tahoma" w:hAnsi="Tahoma" w:cs="Tahoma"/>
      <w:sz w:val="16"/>
      <w:szCs w:val="16"/>
    </w:rPr>
  </w:style>
  <w:style w:type="character" w:customStyle="1" w:styleId="FootnoteTextChar1">
    <w:name w:val="Footnote Text Char1"/>
    <w:aliases w:val="Fußnotentext arial Char,stile 1 Char,Footnote1 Char,Footnote2 Char,Footnote3 Char,Footnote4 Char,Footnote5 Char,Footnote6 Char,Footnote7 Char,Footnote8 Char,Footnote9 Char,Footnote10 Char,Footnote11 Char,Footnote21 Char"/>
    <w:link w:val="FootnoteText"/>
    <w:locked/>
    <w:rsid w:val="00F47AC8"/>
    <w:rPr>
      <w:rFonts w:ascii="PMingLiU" w:eastAsia="PMingLiU"/>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
    <w:basedOn w:val="Normal"/>
    <w:link w:val="FootnoteTextChar1"/>
    <w:rsid w:val="00F47AC8"/>
    <w:pPr>
      <w:suppressAutoHyphens/>
      <w:spacing w:after="0" w:line="240" w:lineRule="auto"/>
    </w:pPr>
    <w:rPr>
      <w:rFonts w:ascii="PMingLiU" w:eastAsia="PMingLiU"/>
    </w:rPr>
  </w:style>
  <w:style w:type="character" w:customStyle="1" w:styleId="FootnoteTextChar">
    <w:name w:val="Footnote Text Char"/>
    <w:basedOn w:val="DefaultParagraphFont"/>
    <w:uiPriority w:val="99"/>
    <w:semiHidden/>
    <w:rsid w:val="00F47AC8"/>
    <w:rPr>
      <w:sz w:val="20"/>
      <w:szCs w:val="20"/>
    </w:rPr>
  </w:style>
  <w:style w:type="character" w:styleId="FootnoteReference">
    <w:name w:val="footnote reference"/>
    <w:aliases w:val="Footnote symbol"/>
    <w:rsid w:val="00F47AC8"/>
    <w:rPr>
      <w:vertAlign w:val="superscript"/>
    </w:rPr>
  </w:style>
  <w:style w:type="paragraph" w:styleId="Header">
    <w:name w:val="header"/>
    <w:basedOn w:val="Normal"/>
    <w:link w:val="HeaderChar"/>
    <w:uiPriority w:val="99"/>
    <w:unhideWhenUsed/>
    <w:rsid w:val="00F47A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AC8"/>
  </w:style>
  <w:style w:type="paragraph" w:styleId="Footer">
    <w:name w:val="footer"/>
    <w:basedOn w:val="Normal"/>
    <w:link w:val="FooterChar"/>
    <w:uiPriority w:val="99"/>
    <w:unhideWhenUsed/>
    <w:rsid w:val="00F47A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234"/>
    <w:rPr>
      <w:rFonts w:ascii="Tahoma" w:hAnsi="Tahoma" w:cs="Tahoma"/>
      <w:sz w:val="16"/>
      <w:szCs w:val="16"/>
    </w:rPr>
  </w:style>
  <w:style w:type="character" w:customStyle="1" w:styleId="FootnoteTextChar1">
    <w:name w:val="Footnote Text Char1"/>
    <w:aliases w:val="Fußnotentext arial Char,stile 1 Char,Footnote1 Char,Footnote2 Char,Footnote3 Char,Footnote4 Char,Footnote5 Char,Footnote6 Char,Footnote7 Char,Footnote8 Char,Footnote9 Char,Footnote10 Char,Footnote11 Char,Footnote21 Char"/>
    <w:link w:val="FootnoteText"/>
    <w:locked/>
    <w:rsid w:val="00F47AC8"/>
    <w:rPr>
      <w:rFonts w:ascii="PMingLiU" w:eastAsia="PMingLiU"/>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
    <w:basedOn w:val="Normal"/>
    <w:link w:val="FootnoteTextChar1"/>
    <w:rsid w:val="00F47AC8"/>
    <w:pPr>
      <w:suppressAutoHyphens/>
      <w:spacing w:after="0" w:line="240" w:lineRule="auto"/>
    </w:pPr>
    <w:rPr>
      <w:rFonts w:ascii="PMingLiU" w:eastAsia="PMingLiU"/>
    </w:rPr>
  </w:style>
  <w:style w:type="character" w:customStyle="1" w:styleId="FootnoteTextChar">
    <w:name w:val="Footnote Text Char"/>
    <w:basedOn w:val="DefaultParagraphFont"/>
    <w:uiPriority w:val="99"/>
    <w:semiHidden/>
    <w:rsid w:val="00F47AC8"/>
    <w:rPr>
      <w:sz w:val="20"/>
      <w:szCs w:val="20"/>
    </w:rPr>
  </w:style>
  <w:style w:type="character" w:styleId="FootnoteReference">
    <w:name w:val="footnote reference"/>
    <w:aliases w:val="Footnote symbol"/>
    <w:rsid w:val="00F47AC8"/>
    <w:rPr>
      <w:vertAlign w:val="superscript"/>
    </w:rPr>
  </w:style>
  <w:style w:type="paragraph" w:styleId="Header">
    <w:name w:val="header"/>
    <w:basedOn w:val="Normal"/>
    <w:link w:val="HeaderChar"/>
    <w:uiPriority w:val="99"/>
    <w:unhideWhenUsed/>
    <w:rsid w:val="00F47A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AC8"/>
  </w:style>
  <w:style w:type="paragraph" w:styleId="Footer">
    <w:name w:val="footer"/>
    <w:basedOn w:val="Normal"/>
    <w:link w:val="FooterChar"/>
    <w:uiPriority w:val="99"/>
    <w:unhideWhenUsed/>
    <w:rsid w:val="00F47A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SEWRC</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Mladenovski</dc:creator>
  <cp:lastModifiedBy>Svetla Todorova</cp:lastModifiedBy>
  <cp:revision>3</cp:revision>
  <dcterms:created xsi:type="dcterms:W3CDTF">2015-03-04T14:02:00Z</dcterms:created>
  <dcterms:modified xsi:type="dcterms:W3CDTF">2015-03-04T15:21:00Z</dcterms:modified>
</cp:coreProperties>
</file>